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00087｜劳谦不矜，众服行吉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摘要：有功不骄、有为不矜，低调务实、甘于奉献，深得众人信服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处于实干立功、实绩落地的收获阶段，在该事务的实绩沉淀、人心凝聚、长期守成过程中，自身踏实肯干、负重担当，已然积累实在功绩与亮眼成果，具备稳固局势、服众立身的核心底气。该阶段易出现的核心心态误区，是居功自矜、实干张扬，大概率在付出辛劳、建立功绩后心生骄气，执着自我功劳、刻意彰显付出，恃功自傲、矜能自满，不甘低调奉献、踏实守拙。在该事务的推进过程中，这类有功必扬、恃绩骄矜的心态，大概率会消磨实干底色、损耗人心归附，即便实绩在手，也会因姿态张扬、心气高傲引发旁人隔阂抵触，难以收拢众心、稳固根基。长期劳而自伐、有功必矜，大概率会功高招人忌、绩显失人心，虽有实绩却难获长久信服。因此在该类事务中，需摒弃恃功自骄、有为自矜的执念，恪守劳谦本心，实干担当而不张扬、建功立业而不居功，低调务实、甘于奉献，以谦厚姿态承载实绩、收服众心，赢得长久信服与顺遂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实干落地、功绩积累过程中，大概率容易小有功劳便自我夸耀，执着个人付出、计较功绩归属，做事张扬外露、心态浮躁自满，不懂低调守谦，容易引发同伴隔阂、人际失衡，消耗自身人缘。建议在该类事务中实干守拙、有功不矜，踏实做好分内担当、默默完成事务耕耘，不夸耀辛劳、不凸显自我，以务实谦和的姿态立身行事，积累人心口碑、收获众人信服。</w:t>
        <w:br/>
        <w:t>手握统筹权限、具备主导能力的人，在</w:t>
      </w:r>
      <w:r>
        <w:rPr>
          <w:rFonts w:eastAsia="等线" w:ascii="Arial" w:cs="Arial" w:hAnsi="Arial"/>
          <w:sz w:val="22"/>
        </w:rPr>
        <w:t>部分事务的全局攻坚、实绩落地过程中，易出现恃功自傲、居绩张扬的问题，大概率会凭借统筹功劳、带队成果心生骄矜，独享功绩、轻视团队付出，姿态高傲、不懂谦退，极易离散团队人心、损耗团队凝聚力。建议在该类事务中秉持劳谦大德，负重担当而不恃权、建功立业而不居功，甘于默默奉献、处事低调务实，以谦厚格局收拢全员心力，深得众人信服、稳固全局基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总起段：劳谦务实、有功不居，则人心归服、基业安稳；恃功自矜、张扬自满，则众情疏离、实绩难守。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厚地载功、默默承养：大地默默承载万物、滋养生灵，劳苦实干、功绩卓著，却从不张扬自矜、自居其功，始终低位谦和、务实奉献，故而万物归心、众类信服；对应人实干立功、谦卑自持，劳而不伐、有功不骄，以务实谦德凝聚人心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青山负重、沉静立身：山峦沉稳厚重、承纳风雨，默默担当守护、积蓄生机，历经劳作淬炼却不显露锋芒、不夸耀功绩，始终沉静低调、安稳自持，故而久得生灵依托、众人敬重；对应人甘于奉献、务实深耕，有功不矜、有为守谦，以立身厚德赢得信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厚地载功不矜、青山负重沉静的直观物象为正向参照，在该类事务的推进过程中，核心在于劳谦守拙、立功不居。彻底戒除恃功骄矜、张扬自满的不良心态，明晰实干立身贵在谦和、功绩长久贵在不伐的客观规律。深耕务实、甘于付出，不执个人功绩、不逞自我锋芒，以低调姿态做事、以宽厚本心待人，凭实干立足、以谦德服众，最终人心归附、诸事安稳、基业绵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43355">
    <w:lvl>
      <w:start w:val="1"/>
      <w:numFmt w:val="decimal"/>
      <w:suff w:val="tab"/>
      <w:lvlText w:val="%1."/>
      <w:rPr>
        <w:color w:val="3370ff"/>
      </w:rPr>
    </w:lvl>
  </w:abstractNum>
  <w:abstractNum w:abstractNumId="343356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43355"/>
  </w:num>
  <w:num w:numId="2">
    <w:abstractNumId w:val="34335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2026-08-07T00:09:32Z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{"Label":"1","ContentProducer":"001191110102MACQD9K64010000","ProduceID":"7671075071343922411","ReservedCode1":"","ContentPropagator":"","PropagateID":"","ReservedCode2":""}</vt:lpwstr>
  </property>
</Properties>
</file>