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00091｜戒躁守拙，防满留憾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摘要：小有顺遂便自满张扬，心志浮躁、难以长久，终将留有遗憾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初得顺遂、略有利好的轻松阶段，在该事务的开局推进、心态沉淀、长线运维过程中，短暂局势平顺、小有收获，极易滋生松弛懈怠、张扬自满的心性。该阶段易出现的核心心态误区，是小顺即骄、浅得即躁，大概率会稍有顺遂便心生轻浮，过度放大当下利好，张扬自矜、放松自持，不再踏实深耕、谨慎守局，心志浮躁、行事轻率。在该事务的推进过程中，这类小成自满、浮躁张扬的心态，大概率会打破当下平稳局势，过早消耗开局好运、透支潜在机缘，看似进展顺利、实则根基虚浮，后续极易后劲不足、局势回落。长期浅得自骄、心志不沉，大概率会顺境难守、利好转瞬即逝，事务难以长效落地、最终留存缺憾与遗憾。因此在该类事务中，需摒弃小顺自满、浮躁张扬的执念，沉心收敛心气、戒除轻浮心态，小成不骄、顺遂不躁，踏实稳守当下、稳步深耕进阶，规避后续遗憾、守住长久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开局协作、成长进阶过程中，大概率容易稍有顺利就心态飘虚，张扬自我、轻视细节，懈怠踏实姿态、沉迷短期顺遂，不再静心沉淀打磨，导致前期利好难以延续、成长进程断层。建议在该类事务中沉心自持、小成不矜，收敛浮躁张扬心气，不因顺境松懈、不因小得自满，踏实做好分内事务、稳步积累底蕴，稳住开局态势、杜绝后续遗憾。</w:t>
        <w:br/>
        <w:t>手握统筹权限、具备主导能力的人，在部分事务的全局开局、</w:t>
      </w:r>
      <w:r>
        <w:rPr>
          <w:rFonts w:eastAsia="等线" w:ascii="Arial" w:cs="Arial" w:hAnsi="Arial"/>
          <w:sz w:val="22"/>
        </w:rPr>
        <w:t>初步拓局过程中，易出现浅顺轻敌、松弛自满的问题，大概率会因开局顺遂便盲目乐观，行事轻率粗放、疏于风险防控，心态浮躁冒进、过度透支局势优势，极易导致布局疏漏、局势反转。建议在该类事务中常怀敬畏之心，顺境不忘沉守、小有不骄不张扬，稳扎稳打统筹、细致深耕布局，克制浮躁心志、夯实全局根基，守住长久运势、避免收官留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总起段：小顺沉守、敛心务实，则运势绵长、诸事无憾；浅得自满、浮躁张扬，则利好易逝、终留缺憾。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浅杯浮水、满则易溢：浅杯盛水，稍有积蓄便充盈外显，极易自满溢出、难以自持，不懂收敛沉淀、固守分寸，短暂丰盈之后便转瞬清空；对应人小有顺遂便张扬自满，心态轻浮不沉，所得难守、优势易失。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脆花初绽、躁盛易凋：娇花初开略有姿色便肆意盛放、张扬外露，心气浮躁、不知敛藏，不耐沉淀、难守稳态，故而花期短促、早早凋零难续绵长生机；对应人浅得即骄、心志浮动，顺势不懂稳守，最终好事难久、留有遗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浅杯满水易溢、脆花初绽易凋的生活化常见物象为警示参照，在该类事务的推进过程中，核心在于小顺戒骄、敛心戒躁。彻底戒除浅得自满、张扬轻浮的不良心态，明晰开局顺遂最易懈怠、小有收获最易浮躁的客观规律。不被短期利好迷惑、不因微小顺遂张扬，沉心务实、稳守本心，以沉稳姿态夯实当下所得、以持久深耕延续运势，杜绝浮躁疏漏、规避终局遗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39927">
    <w:lvl>
      <w:start w:val="1"/>
      <w:numFmt w:val="decimal"/>
      <w:suff w:val="tab"/>
      <w:lvlText w:val="%1."/>
      <w:rPr>
        <w:color w:val="3370ff"/>
      </w:rPr>
    </w:lvl>
  </w:abstractNum>
  <w:abstractNum w:abstractNumId="153992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39927"/>
  </w:num>
  <w:num w:numId="2">
    <w:abstractNumId w:val="15399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2026-08-07T00:13:56Z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{"Label":"1","ContentProducer":"001191110102MACQD9K64010000","ProduceID":"7671076221710798021","ReservedCode1":"","ContentPropagator":"","PropagateID":"","ReservedCode2":""}</vt:lpwstr>
  </property>
</Properties>
</file>