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00093｜戒逸醒沉，勤勉脱困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摘要：迟疑懈怠、耽于安逸，易生困顿，及时醒悟、勤勉进取方得安稳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当前可能在某些事务中，处于顺势安逸、心态松弛的临界阶段，在该事务的节奏把控、状态维系、长线推进过程中，当下局势暂无强压、处境相对松弛，极易滋生安逸惰性、拖延迟疑的负面状态，陷入被动内耗、停滞不前的局面。该阶段易出现的核心心态误区，是耽于安乐、懈怠拖延，大概率会因处境安稳便放松自我要求，沉溺舒适状态、丧失进取动力，遇事迟疑观望、不愿主动突破，日复一日懈怠躺平、疏于深耕精进。在该事务的推进过程中，这类安逸懈怠、迟疑不振的心态，大概率会逐步消耗原有运势、错失进取契机，让原本顺遂的局势慢慢滋生阻滞，细碎问题不断堆积、事务进度持续滞后，最终陷入进退两难的困顿局面。长期安于闲适、懈怠不进，大概率会顺境转困、运势回落，错失成长与成事机遇。因此在该类事务中，需摒弃耽于安逸、迟疑懈怠的执念，及时醒悟自查、破除惰性，摒弃松弛状态、坚守勤勉进取，主动突破停滞困局，稳步前行换取长久安稳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资源较少，以配合协作、依托他人成事的人，在部分事务的日常推进、成长进阶过程中，大概率容易局势顺遂便心生松懈，安于现状、不愿精进，遇事迟疑拖延、习惯性被动应付，长期积累导致能力停滞、事务积压，逐步陷入发展困顿。建议在该类事务中时刻自省、戒除安逸，不沉溺舒适常态、不拖延当下事务，主动勤勉做事、稳步精进提升，以积极姿态突破停滞，守住自身发展安稳。</w:t>
        <w:br/>
        <w:t>手握统筹权限、具备主导能力的人，在部分事务</w:t>
      </w:r>
      <w:r>
        <w:rPr>
          <w:rFonts w:eastAsia="等线" w:ascii="Arial" w:cs="Arial" w:hAnsi="Arial"/>
          <w:sz w:val="22"/>
        </w:rPr>
        <w:t>的全局运维、节奏把控过程中，易出现松弛怠政、迟疑不决的问题，大概率会因局势平稳便疏于管控、放松推进节奏，决策迟疑观望、执行力度不足，团队滋生安逸惰性，整体进度拖沓滞后，逐步陷入全局困顿。建议在该类事务中警醒自持、勤勉履职，破除安逸松弛的侥幸心态，果断决策、稳步推进，带动整体破除停滞困局，以勤勉进取稳住全局态势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总起段：耽逸懈怠、迟疑不前，则顺势渐困、百事难进；及时醒悟、勤勉精进，则阻滞自消、终得安稳。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缓舟滞渡、积懒成困：小舟停泊静水、处境安逸，若无划桨精进、持续前行，一味迟疑停歇、耽于闲适，久而久之便滞留原地、积滞难行，错失渡水契机、陷入进退困顿；对应人安于现状、懈怠拖延，沉溺舒适状态导致事务停滞、运势受阻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钝刀搁置、久废渐荒：刀具长期搁置不用、疏于打磨养护，耽于闲置安逸、不肯勤修精进，久而久之锋芒消退、愈发迟钝，遇事难以破局、困顿难行；对应人长期懈怠松弛、不思进取，状态持续内耗、步步陷入被动困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缓舟滞渡积困、钝刀搁置渐荒的生活化物象为警示参照，在该类事务的推进过程中，核心在于戒除安逸、醒悟勤勉。彻底破除耽于闲适、迟疑懈怠的消极心态，明晰顺境最易生惰性、安逸最易积困顿的客观规律。不恋当下舒适、不拖当下事务，及时醒悟自查、主动破除松弛状态，以勤勉进取破除停滞困局、以持续精进疏通前路，稳步推进事务、守住人生运势安稳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540173">
    <w:lvl>
      <w:start w:val="1"/>
      <w:numFmt w:val="decimal"/>
      <w:suff w:val="tab"/>
      <w:lvlText w:val="%1."/>
      <w:rPr>
        <w:color w:val="3370ff"/>
      </w:rPr>
    </w:lvl>
  </w:abstractNum>
  <w:abstractNum w:abstractNumId="1540174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1540173"/>
  </w:num>
  <w:num w:numId="2">
    <w:abstractNumId w:val="154017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2026-08-07T00:15:00Z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{"Label":"1","ContentProducer":"001191110102MACQD9K64010000","ProduceID":"7671076487970163934","ReservedCode1":"","ContentPropagator":"","PropagateID":"","ReservedCode2":""}</vt:lpwstr>
  </property>
</Properties>
</file>