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00095｜守心恒持，稳消隐患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摘要：身处平稳境遇，持之以恒、坚守本心，稳步消解隐患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境遇平稳、态势和顺的安守阶段，在该事务的长期维稳、细节深耕、风险防控过程中，整体局势暂无大幅波动、处境安逸平顺，看似无虞的表象之下，实则暗藏细碎隐性隐患，潜藏积小成大、由安转危的风险。该阶段易出现的核心心态误区，是安居懈怠、初心松懈，大概率会身处平稳境遇便心生松弛，丧失自持恒心、淡化坚守本心，处事敷衍应付、缺乏持续精进的定力，依赖现有安稳态势、疏于细节排查与长期维护。在该事务的推进过程中，这类安居怠惰、守心不坚的心态，大概率会让细微隐患长期积存、无人消解，随着时间推移逐步发酵蔓延，慢慢侵蚀安稳根基，让原本平顺的局势滋生阻滞、出现波动。长期无恒懈怠、疏于守正，大概率会小患积大病、安稳破局，错失稳步维稳、消解隐患的最佳时机。因此在该类事务中，需摒弃安居松懈、怠惰无恒的执念，始终坚守本心、持之以恒深耕，于平稳境遇中常怀敬畏审慎之心，循序渐进排查疏漏、稳步消解潜藏隐患，长久守住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日常维稳、持续深耕过程中，大概率容易局势安稳便心态松弛，做事敷衍潦草、缺乏恒心韧劲，忽视细节隐患、疏于日常维护，导致细碎问题日积月累、逐步爆发，打乱安稳节奏。建议在该类事务中恒守本心、精进不怠，不因平顺而松懈、不因无事而敷衍，持之以恒做好细节把控，主动排查微小隐患、稳步化解风险，守住自身事务的平稳态势。</w:t>
        <w:br/>
        <w:t>手握统筹权限、具备主导能力的人，在部分事务的全局维稳</w:t>
      </w:r>
      <w:r>
        <w:rPr>
          <w:rFonts w:eastAsia="等线" w:ascii="Arial" w:cs="Arial" w:hAnsi="Arial"/>
          <w:sz w:val="22"/>
        </w:rPr>
        <w:t>、长线运营过程中，易出现居安轻敌、疏于管控的问题，大概率会因长期平稳便放松警惕，运维流于表面、制度疏于落实，缺乏持之以恒的深耕意识，漠视隐性隐患的累积危害，极易引发全局波动。建议在该类事务中安不忘危、恒守正道，始终保持审慎姿态，常态化排查全局隐患、持续优化运维体系，以长久坚守稳固局势，稳步消解各类潜在风险，维系长效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总起段：安中持恒、审慎守心，则隐患渐消、平稳长存；安居松懈、初心怠弛，则微患日积、安稳易破。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镜勤拭、不染微尘：明镜日常洁净透亮、态势平稳，若无持之以恒的擦拭养护，细微尘垢会日渐堆积、遮蔽本心光亮，唯有坚持日常打理、持续自查自纠，方能始终澄澈无垢、不留隐患；对应人身处顺境坚守本心、持之以恒，持续修正自我、消解细微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渠常疏、久畅无淤：水渠常态平顺、流水通畅，看似无虞却易积存细微淤堵，唯有坚持定期疏通、稳步清理杂质，不任微淤积攒，方能长久通畅、无水患阻滞；对应人于平稳境遇中持续深耕维稳，循序渐进消解隐性隐患，守住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常镜勤拭无尘、平渠久疏无淤的生活化物象为正向参照，在该类事务的推进过程中，核心在于居安守心、持之以恒。彻底戒除安居懈怠、松弛怠惰的不良心态，明晰平稳最易积隐患、安境贵在有恒心的客观规律。始终坚守初始本心、保持审慎姿态，不困顺境、不生懈怠，以长期坚守深耕细节、以稳步行动消解微患，不让小隐患积攒成大阻滞，稳稳守住当下平稳境遇，实现局势长久安稳、持续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4310">
    <w:lvl>
      <w:start w:val="1"/>
      <w:numFmt w:val="decimal"/>
      <w:suff w:val="tab"/>
      <w:lvlText w:val="%1."/>
      <w:rPr>
        <w:color w:val="3370ff"/>
      </w:rPr>
    </w:lvl>
  </w:abstractNum>
  <w:abstractNum w:abstractNumId="5743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74310"/>
  </w:num>
  <w:num w:numId="2">
    <w:abstractNumId w:val="574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2026-08-07T00:16:56Z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{"Label":"1","ContentProducer":"001191110102MACQD9K64010000","ProduceID":"7671076998165695735","ReservedCode1":"","ContentPropagator":"","PropagateID":"","ReservedCode2":""}</vt:lpwstr>
  </property>
</Properties>
</file>