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00119｜观己察势，修省无失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摘要：观人观己、自省自查，审视得失、修正不足，修身成事无失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局势安稳、态势固化的沉淀阶段，外部突破空间相对有限，事务推进难以依靠外放激进实现进阶，核心提升路径集中在向内自查、修整短板。事务落地、人际协作与决策判断中，细微疏漏、认知惯性、行为短板极易隐性留存，短期难以察觉负面影响，长期积累会形成持续性内耗，拖累事态提质进度、制约长远发展高度。该状态下最适配沉淀修身、复盘纠偏，通过常态化审视处事得失、排查自身弊病，精准补齐隐性短板、规整行事偏差。此阶段容易滋生两类负面心态，一是自满懈怠，依托现有安稳态势放松自我约束，忽视细微隐患的累积危害；二是外求推诿，遇事习惯性归咎外部因素，缺失向内复盘的自觉，导致固有问题反复出现、难以迭代精进。坚守自省初心、主动整改不足，方可规避处事过失、夯实成事根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容易固化固有处事模式，拘泥惯性思维、疏于自我复盘，难以察觉自身沟通疏漏、执行短板与配合偏差，遇事多向外归因，长期损耗个人协作口碑、拖累成长节奏。需时刻保持清醒自持，常态化审视处事得失，及时修正细微不足，以持续修身精进打磨能力、稳固个人根基。</w:t>
        <w:br/>
        <w:t xml:space="preserve">    拥有相对自主权，有一定统筹资源能力、具备主导条件的人</w:t>
      </w:r>
      <w:r>
        <w:rPr>
          <w:rFonts w:eastAsia="等线" w:ascii="Arial" w:cs="Arial" w:hAnsi="Arial"/>
          <w:sz w:val="22"/>
        </w:rPr>
        <w:t>，全局运维与事务统筹中，容易因格局安稳滋生自负心态，过度笃定自身决策与布局逻辑，忽视体系运维细节、管理疏漏与人情适配短板，隐性弊病长期堆积易引发全局偏差。需兼顾观人察势与律己修身，以严谨复盘优化布局、修整缺憾，稳守成事格局、全程安稳无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总起段：内观自省、修缺补弊，则身正事稳、长久无失；自满懈怠、拒于自省，则微弊日积、进阶受限。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明镜鉴形、自查瑕疵：明镜澄澈公允，不偏不倚、不遮不掩，如实映照身形细微瑕疵与不足，清晰呈现自身优劣得失，为修整完善、自我提升提供精准依据，对应人清醒自省、审察自身短板的处事状态。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细磨璞玉、去瑕存真：原生璞玉暗藏细微杂质与纹路瑕疵，未经打磨则质地粗糙、难成大器，唯有循序渐进精修细琢、剔除弊病，方能褪去浮华、沉淀温润质地，对应人持续修正不足、修身精进、稳步成事。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整体觉察思路：以明镜鉴形自查、璞玉修磨去瑕的生活化物象为正向参照，此阶段核心在于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内观自省、修缺精进</w:t>
      </w:r>
      <w:r>
        <w:rPr>
          <w:rFonts w:eastAsia="等线" w:ascii="Arial" w:cs="Arial" w:hAnsi="Arial"/>
          <w:sz w:val="22"/>
        </w:rPr>
        <w:t>。戒除自满懈怠、推诿外责的不良心态，明晰立身成事必先修己纠偏的客观规律。不恃安稳态势而松懈、不困固有认知而盲从，常态化观人观己、复盘得失，主动修正处事偏差、补齐隐性短板，以修身立德夯实发展底气，以审慎自律规避处事过失，最终品行精进、事态安稳、长久无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67772">
    <w:lvl>
      <w:start w:val="1"/>
      <w:numFmt w:val="decimal"/>
      <w:suff w:val="tab"/>
      <w:lvlText w:val="%1."/>
      <w:rPr>
        <w:color w:val="3370ff"/>
      </w:rPr>
    </w:lvl>
  </w:abstractNum>
  <w:abstractNum w:abstractNumId="156777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567772"/>
  </w:num>
  <w:num w:numId="2">
    <w:abstractNumId w:val="15677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2026-08-07T01:15:16Z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{"Label":"1","ContentProducer":"001191110102MACQD9K64010000","ProduceID":"7671092102855511340","ReservedCode1":"","ContentPropagator":"","PropagateID":"","ReservedCode2":""}</vt:lpwstr>
  </property>
</Properties>
</file>