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00120｜守正修德，精进升维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摘要：常怀自省之心、坚守正道，修德立身、精进不止，稳步提升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备受关注、需自持自律的进阶阶段，言行状态与处事格局皆被外界观察参照，个人德行、处事心性与专业底蕴，直接影响事态口碑与长远高度。此阶段无激烈外部阻滞，核心进阶逻辑不在于向外强求突破，而在于向内修德、持续精进，以端正心性稳固行事根基，以长久自律实现稳步升维。长期的正向积累与自省沉淀，能够持续优化处事格局、提升个人层级。此阶段易滋生两类心性偏差，一是功成松懈、安逸自守，在态势平稳、收获认可后心生懈怠，放弃持续自省与精进打磨，止步现有高度；二是恃誉浮躁、失正逐利，依托外界关注度与自身优势偏移正道，行事功利、心性浮动，损耗长期积累的德行底蕴。始终坚守正道、常怀自省自律之心，持续修德立身、精进不怠，方能实现层级稳步提升、长效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与人际相处中，容易在获得阶段性认可后滋生惰性，疏于自我审视、懈怠能力打磨，固守现有状态、停止精进突破，难以实现层级提升。建议始终秉持自省自律的心态，坚守处事正道，摒弃安逸懈怠之心，持续打磨能力、修德立身，日积月累实现稳步精进、逐步提升自我。</w:t>
        <w:br/>
        <w:t xml:space="preserve">   </w:t>
      </w:r>
      <w:r>
        <w:rPr>
          <w:rFonts w:eastAsia="等线" w:ascii="Arial" w:cs="Arial" w:hAnsi="Arial"/>
          <w:sz w:val="22"/>
        </w:rPr>
        <w:t xml:space="preserve"> 拥有相对自主权，有一定统筹资源能力、具备主导条件的人，处事格局与言行举止更易被外界参照效仿，极易在优势态势下放松自我约束，心性浮躁、偏离正道，忽视德行修养与长效精进，导致格局难以升维。建议常怀敬畏自省之心，恪守正道底线，以德行驭事、以精进提质，持续完善自我格局，稳步拓宽层级、实现长效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总起段：守正自省、修德精进，则层级日升、长效向好；懈怠浮躁、偏离正道，则存量耗散、进阶停滞。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灯高悬、自持端正：高悬明灯为万物参照、受众人仰望，始终自持端正、光亮纯粹，不随外物偏移本心、不因安稳懈怠亮度，恒久坚守正向本质、持续发光赋能；对应人坚守正道、常怀自省，以端正心性立身行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高修阶、层层递进：身处高位仍不松懈，持续修整阶梯、夯实层级，步步打磨、日日精进，不满足现有高度、不停止向上步伐，最终稳步抬升、格局渐广；对应人精进不止、持续修德，实现稳步提升、长效升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整体觉察思路：以高悬明灯守正、登高修阶精进的生活化物象为正向参照，此阶段核心在于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守正修德、恒常精进</w:t>
      </w:r>
      <w:r>
        <w:rPr>
          <w:rFonts w:eastAsia="等线" w:ascii="Arial" w:cs="Arial" w:hAnsi="Arial"/>
          <w:sz w:val="22"/>
        </w:rPr>
        <w:t>。戒除安逸懈怠、浮躁失正的不良心态，明晰德行立身方得长久、持续精进方可升维的客观规律。不因安稳而松懈、不因认可而自满，常态化自省自查、坚守正道本心，持续修德修身、打磨自我，以恒久自律积累正向势能，稳步实现能力、格局与层级的全方位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5749">
    <w:lvl>
      <w:start w:val="1"/>
      <w:numFmt w:val="decimal"/>
      <w:suff w:val="tab"/>
      <w:lvlText w:val="%1."/>
      <w:rPr>
        <w:color w:val="3370ff"/>
      </w:rPr>
    </w:lvl>
  </w:abstractNum>
  <w:abstractNum w:abstractNumId="112575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25749"/>
  </w:num>
  <w:num w:numId="2">
    <w:abstractNumId w:val="11257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2026-08-07T01:15:56Z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{"Label":"1","ContentProducer":"001191110102MACQD9K64010000","ProduceID":"7671092257672318140","ReservedCode1":"","ContentPropagator":"","PropagateID":"","ReservedCode2":""}</vt:lpwstr>
  </property>
</Properties>
</file>