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00121｜小过即纠，防微杜渐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摘要：初有小过、细微疏漏，及时惩戒纠偏、约束自身，防微杜渐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事态初启、细节易疏的起步阶段，整体并无重大过错与硬性阻滞，仅存在细碎疏漏、轻微偏差与行为松懈，这类浅层问题体量微小、不易察觉，但若放任不管，会逐步蔓延扩大，演变为影响事态推进的核心隐患。此阶段核心要义为严于律己、小过即改，秉持惩戒自省的处事思维，主动约束自身言行、规整处事细节，对各类细微偏差及时纠偏、逐项整改，从源头杜绝隐患滋生。事态初期的微小过失具备极强可控性，及时修正便可无咎无失。此阶段易滋生两类负面心态，一是侥幸松懈，误认为细微疏漏无关大局，心存侥幸、疏于整改，放任小错累积蔓延；二是放任自流，对自身松懈行为缺乏约束，处事随性敷衍、细节把控松散，逐步积累处事弊病。唯有正视微小过失、主动纠偏自律，方可防微杜渐、稳住事态走势，规避后续重大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易轻视细节小事，对细碎疏漏、轻微失误心存侥幸，不愿及时整改纠偏，长期积累细节弊病，导致协作衔接出现漏洞、拖累整体进度。建议强化自我约束、摒弃侥幸心态，正视每一处细微偏差，及时规整处事细节、补齐疏漏，以严谨细致规避隐患、稳妥推进事务。</w:t>
        <w:br/>
        <w:t xml:space="preserve">    拥有相对</w:t>
      </w:r>
      <w:r>
        <w:rPr>
          <w:rFonts w:eastAsia="等线" w:ascii="Arial" w:cs="Arial" w:hAnsi="Arial"/>
          <w:sz w:val="22"/>
        </w:rPr>
        <w:t>自主权，有一定统筹资源能力、具备主导条件的人，全局运维初期易忽视细微管理漏洞与布局偏差，轻视初期小过、疏于前置管控，微小隐患持续累积，后续易演变为体系性阻滞。建议秉持防微杜渐的思维，从严约束自我与事务细节，早期及时惩戒纠偏、规整布局漏洞，筑牢事态开局根基，规避后续大规模损耗与过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总起段：小过即纠、严于自律，则初弊尽消、长远无咎；侥幸松懈、疏于约束，则微弊渐大、后患滋生。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萌芽除患、遏止微弊：草木隐患初发之时，仅有细微萌芽、无蔓延之势，及时修整拔除便可彻底清零隐患，不给予生长扩张的机会；对应人正视初期微小疏漏，快速纠偏整改，杜绝小错积累成大弊。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立规束行、规整初态：事物初始阶段态势未定、极易偏移，通过适度约束规整、严明细节准则，收紧松散状态、修正细微偏差，稳住初始走势；对应人自我约束、严于律己，以前置自律防微杜渐。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整体觉察思路：以萌芽除患止微弊、立规束行正初态的生活化物象为正向参照，此阶段核心在于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小过必纠、防微杜渐</w:t>
      </w:r>
      <w:r>
        <w:rPr>
          <w:rFonts w:eastAsia="等线" w:ascii="Arial" w:cs="Arial" w:hAnsi="Arial"/>
          <w:sz w:val="22"/>
        </w:rPr>
        <w:t>。戒除侥幸松懈、随性放任的不良心态，明晰微弊不除则大势必扰、初态不严则后事必乱的客观规律。不轻视细微疏漏、不纵容轻微过失，始终保持严谨自律的状态，及时整改初期偏差、严格约束自身言行，从源头阻断隐患蔓延，稳住事态开局走势，实现全程无咎、安稳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8210">
    <w:lvl>
      <w:start w:val="1"/>
      <w:numFmt w:val="decimal"/>
      <w:suff w:val="tab"/>
      <w:lvlText w:val="%1."/>
      <w:rPr>
        <w:color w:val="3370ff"/>
      </w:rPr>
    </w:lvl>
  </w:abstractNum>
  <w:abstractNum w:abstractNumId="71821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18210"/>
  </w:num>
  <w:num w:numId="2">
    <w:abstractNumId w:val="7182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2026-08-07T01:16:32Z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{"Label":"1","ContentProducer":"001191110102MACQD9K64010000","ProduceID":"7671092423149866224","ReservedCode1":"","ContentPropagator":"","PropagateID":"","ReservedCode2":""}</vt:lpwstr>
  </property>
</Properties>
</file>