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00126｜固执妄为，积过招损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摘要：固执犯错、屡教不改，肆意妄为终将招致重大损耗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积过不改、心性偏执的高危阶段，过往已多次显露处事偏差、行为疏漏与认知过错，外界亦有提醒劝诫、整改提示，但心性固执偏激、自我执念过重，长期漠视问题、拒不修正弊病。事态隐患本为细碎小过、可随时清零，却因屡教不改、随性妄为持续堆积，小错积淀成顽弊、轻失演变成重患。此阶段核心警示为戒执守正、止错整改，彻底摒弃偏执自负的处事心性，正视历次过错与他人良言，及时终止肆意妄为的行事状态，主动规整偏差、肃清积弊。长期拒谏自专、固执行事，会彻底损耗事态根基、透支既有优势。此阶段存在两类致命心性弊病，一是刚愎自用，执念固有认知、轻视他人劝诫，自认无误、拒不纠错，持续重复同类过错；二是肆意放任，漠视规则约束与事态隐患，行事随性妄为、毫无敬畏，不断累积负面弊病，最终引发全局性损耗与明显凶险。唯有破除偏执、止错修偏，方可止损稳局、规避重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陷入自我固化，无视团队规范、他人提醒与协作偏差，屡次重复细节过错，处事随性散漫、屡教不改，长期消耗协作信任、损耗个人口碑，逐步丧失发展机缘与立足根基。建议破除自我偏执，正视自身反复性弊病，虚心接纳正向劝诫，及时整改过错、收敛妄为，守住立身底线。</w:t>
        <w:br/>
        <w:t xml:space="preserve">    拥有相对自主权，有一定统筹资源能力</w:t>
      </w:r>
      <w:r>
        <w:rPr>
          <w:rFonts w:eastAsia="等线" w:ascii="Arial" w:cs="Arial" w:hAnsi="Arial"/>
          <w:sz w:val="22"/>
        </w:rPr>
        <w:t>、具备主导条件的人，全局运维中易身居高位而刚愎自用，独断专行、听不进谏言，漠视体系漏洞、决策偏差与管理弊病，明知有错却拒不修正，持续肆意施策、逆势而为，不断消耗格局优势、积累深层隐患，极易引发体系性风险、造成重大资源损耗与局势溃败。建议收敛偏执心性，敬畏规则、正视过错，及时止错纠偏、规整全局，杜绝积过招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总起段：偏执不改、肆意妄为，则积弊成凶、损耗深重；知错即止、虚心整改，则隐患清零、局势可稳。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掩耳塞听、拒纳良言：刻意遮蔽听闻、闭塞视听，拒绝接纳正向劝诫与客观建议，固守片面认知、偏执己见，无视自身过错与事态隐患，持续活在自我固化的认知中，错而不改、迷而不醒；对应人心性偏执、屡教不改，丧失自省纠错能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微成巨、妄为招损：细微过错长期放任不纠，层层积淀、步步恶化，原本无伤大雅的小弊持续蔓延扩张，叠加肆意妄为的行事姿态，最终击穿事态根基、引发重度损耗与凶险局面；对应固执妄为、积过成患，终招大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整体觉察思路：以掩耳塞听拒良言、积微成巨招大损的生活化物象为警示参照，此阶段核心在于</w:t>
      </w:r>
      <w:r>
        <w:rPr>
          <w:rFonts w:eastAsia="等线" w:ascii="Arial" w:cs="Arial" w:hAnsi="Arial"/>
          <w:b w:val="true"/>
          <w:sz w:val="22"/>
        </w:rPr>
        <w:t>破执止错、收敛妄为</w:t>
      </w:r>
      <w:r>
        <w:rPr>
          <w:rFonts w:eastAsia="等线" w:ascii="Arial" w:cs="Arial" w:hAnsi="Arial"/>
          <w:sz w:val="22"/>
        </w:rPr>
        <w:t>。戒除刚愎自用、随性放任的致命心态，明晰小过不改必积大患、肆意妄为终招重损的客观规律。放下自我偏执、虚心接纳劝诫，正视反复性过错，及时终止妄为状态、彻底整改积弊，阻断隐患蔓延扩张，止损固本、稳守局势，规避重度损耗与凶险结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5281">
    <w:lvl>
      <w:start w:val="1"/>
      <w:numFmt w:val="decimal"/>
      <w:suff w:val="tab"/>
      <w:lvlText w:val="%1."/>
      <w:rPr>
        <w:color w:val="3370ff"/>
      </w:rPr>
    </w:lvl>
  </w:abstractNum>
  <w:abstractNum w:abstractNumId="10152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15281"/>
  </w:num>
  <w:num w:numId="2">
    <w:abstractNumId w:val="10152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2026-08-07T01:19:48Z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{"Label":"1","ContentProducer":"001191110102MACQD9K64010000","ProduceID":"7671093266867473670","ReservedCode1":"","ContentPropagator":"","PropagateID":"","ReservedCode2":""}</vt:lpwstr>
  </property>
</Properties>
</file>