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00129｜文饰守真，恒久安稳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摘要：文饰有度、内外兼修，不逐虚华、坚守本心，方能长久安稳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内外兼修、文饰成型的精进阶段，外在素养、言行呈现与事务表象已打磨规整，具备温润得体的外在质感，无需再刻意追逐浮华修饰、过度造势包装。此阶段核心要义为守正持恒、文饰有度，兼顾外在得体与内在纯粹，做到表象规整而本心不移、修饰适度而内核扎实。外在文饰是锦上添花的辅助，唯有固守质朴本心、坚守处事正道，不被光鲜表象裹挟，克制虚华执念，方能稳住现有格局、维系长久安稳。局势整体向好、质感成型，最大风险不在于外在不足，而在于饰盛忘本、逐华失质。此阶段易滋生两类负面心态，一是恃美逐虚，沉溺成型的外在质感，执着于浮华修饰，逐步忽视内在深耕与本心坚守，本末倒置、损耗根本；二是固守粗简，完全排斥合理文饰、轻视外在规范，不修边幅、不拘形制，错失内外平衡的精进契机。始终拿捏文饰分寸、坚守本心正道，内外兼修、不偏不倚，方可长久安稳、无失无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外在形象、处事方式已趋于成熟得体，容易滋生自满心态，沉迷表面体面与浮华表象，疏于内心自省与能力精进，慢慢丢失质朴本心。建议把握文饰尺度，兼顾外在规范与内在沉淀，不逐虚、不浮夸，守好本心底色，以内外兼修的状态稳步深耕、长久立足。</w:t>
        <w:br/>
        <w:t xml:space="preserve">    拥有相对自主权，</w:t>
      </w:r>
      <w:r>
        <w:rPr>
          <w:rFonts w:eastAsia="等线" w:ascii="Arial" w:cs="Arial" w:hAnsi="Arial"/>
          <w:sz w:val="22"/>
        </w:rPr>
        <w:t>有一定统筹资源能力、具备主导条件的人，事务格局、个人声望已初具质感，极易在优势状态下过度包装造势，执着场面光鲜、形式华丽，逐渐脱离务实本质，处事趋于虚浮、脱离本心正道。建议恪守文饰有度的原则，淡化浮华追求、坚守务实本心，以内外平衡、质饰相宜的姿态稳守格局，保障事态长久安稳、行稳致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总起段：文饰适度、守真固本，则内外相宜、长久安稳；过逐虚华、本心偏移，则质感耗散、格局难稳。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润琢器、质饰平衡：精品器物打磨成型后，纹饰温润得体、质感内敛醇厚，修饰恰到好处、不艳不俗，既保有外在规整之美，又坚守本身质朴质地，不因彩绘纹饰掩盖核心本真；对应人外在得体、内在纯粹，文饰有度、不逐虚华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山持正、恒久笃定：山峦形貌规整温润、气韵沉稳，外在层次舒展有度，内里根基厚重坚实，不因外在形貌变化动摇本心底蕴，始终静守正道、安稳不移；对应人坚守本心、持恒守正，历经修饰而本性不变、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整体觉察思路：以琢器质饰相宜、静山守正笃定的生活化物象为正向参照，此阶段核心在于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文饰有度、守真恒久</w:t>
      </w:r>
      <w:r>
        <w:rPr>
          <w:rFonts w:eastAsia="等线" w:ascii="Arial" w:cs="Arial" w:hAnsi="Arial"/>
          <w:sz w:val="22"/>
        </w:rPr>
        <w:t>。戒除逐华忘本、废饰从粗的极端心态，明晰外饰为用、本心为根的客观规律。处事修身兼顾表里、拿捏分寸，既修外在得体之态，亦守内在质朴本心，不沉溺浮华表象、不荒废内在深耕，以内外兼修稳住格局、以守正持恒规避损耗，最终态势稳固、本心纯粹、长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1232">
    <w:lvl>
      <w:start w:val="1"/>
      <w:numFmt w:val="decimal"/>
      <w:suff w:val="tab"/>
      <w:lvlText w:val="%1."/>
      <w:rPr>
        <w:color w:val="3370ff"/>
      </w:rPr>
    </w:lvl>
  </w:abstractNum>
  <w:abstractNum w:abstractNumId="32123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21232"/>
  </w:num>
  <w:num w:numId="2">
    <w:abstractNumId w:val="3212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2026-08-07T09:44:18Z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{"Label":"1","ContentProducer":"001191110102MACQD9K64010000","ProduceID":"7671223285032062241","ReservedCode1":"","ContentPropagator":"","PropagateID":"","ReservedCode2":""}</vt:lpwstr>
  </property>
</Properties>
</file>