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00144｜执迷偏行，积弊生阻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摘要：执迷不悟、知错不改，偏离正道远行，终将招致重大阻碍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明知有偏、拒不修正的危险僵持阶段，该事务的推进轨迹早已脱离正向轨道，细节疏漏、节奏偏差、认知错位持续存在，且自身能够清晰察觉问题所在，却始终固执抵触、不肯复盘整改。区别于无意失误、反复微调的常态波动，当下核心问题不在于事务本身存在短板，而在于主观心态的执迷固守，刻意无视客观偏差，坚持沿用错误的处事方式与推进逻辑。一次次错失低成本纠错的时机，任由细微偏差不断延伸、层层累积，随着推进时长增加，跑偏程度持续加深，原本轻微的小问题会固化成顽固弊病，持续消耗该事务的原有根基，不断积累负面隐患。长此以往，原本可控的事务状态会彻底失控，衍生出难以突破的硬性阻碍，严重拖累推进进程、打乱既定节奏。此阶段核心警示为破执归正、及时止损，放下主观执念与侥幸心态，正视该事务的现存偏差，尽早纠错复盘、回归正向节奏，规避后续重大阻滞。此阶段易滋生两类负面心态，一是自负固守，过度笃定自我判断，轻视客观规律，拒不承认处事偏差，一意孤行延续错误节奏；二是放任摆烂，明知方向出错、做法有误，却消极懈怠、不愿整改，任由该事务持续跑偏、隐患肆意蔓延。唯有破除执念、知错速改，方能截断弊病、化解阻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的执行偏差早已显露，有充足的调整空间与整改时机，却容易因固执好胜、碍于情面不肯纠错，长期沿用错误的执行方式。持续知错不改，会不断积累履职漏洞、损耗个人口碑，让原本可控的细微偏差逐步放大，形成协作阻碍与工作卡点，导致该事务推进愈发被动。建议放下执念与私心，正视自身处事疏漏，有错即改、及时归正，主动规整执行细节，稳住该事务的推进状态、规避重度风险。</w:t>
        <w:br/>
        <w:t xml:space="preserve">    拥有相对自主权，有一定统筹资源能力、具备主导条件的</w:t>
      </w:r>
      <w:r>
        <w:rPr>
          <w:rFonts w:eastAsia="等线" w:ascii="Arial" w:cs="Arial" w:hAnsi="Arial"/>
          <w:sz w:val="22"/>
        </w:rPr>
        <w:t>人，在该事务的统筹推进中，能够清晰感知布局偏差、节奏失当、决策疏漏等问题，却容易被固有思维、主观执念束缚，拒绝优化调整统筹方案，逆势施策、执意孤行。长期的执迷不改会持续加重该事务的内部损耗，积累多层隐性弊病，最终引发重大推进阻碍，造成事务停滞、前期投入损耗、事态难以挽回。建议摒弃自负心态，尊重事务正向推进规律，主动复盘纠偏、彻底规整偏差，及时止损回调，破除行进壁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总起段：知错归正、及时修整，则隐患可消、事态安稳；执迷不改、偏行走远，则积弊成障、推进难行。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行路偏航、渐行渐远：道路已然偏离正向轨迹，起步偏差尚且容易修正，却执意不回头、不调整方向，持续向前行进，越走越偏，彻底远离目标正轨，错失归正时机。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微瑕不补、终成大损：器物表层初现细微裂痕与瑕疵，初期修整简单、代价极小，但若执意放任、拒不修补，裂痕会持续蔓延扩张，最终损伤器物本体，形成无法挽回的破损与阻碍。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整体觉察思路：以行路偏航不回头、器物微瑕积大损的通俗物象为警示参照，此阶段核心在于</w:t>
      </w:r>
      <w:r>
        <w:rPr>
          <w:rFonts w:eastAsia="等线" w:ascii="Arial" w:cs="Arial" w:hAnsi="Arial"/>
          <w:b w:val="true"/>
          <w:sz w:val="22"/>
        </w:rPr>
        <w:t>破除执念、知错速改、止损归正</w:t>
      </w:r>
      <w:r>
        <w:rPr>
          <w:rFonts w:eastAsia="等线" w:ascii="Arial" w:cs="Arial" w:hAnsi="Arial"/>
          <w:sz w:val="22"/>
        </w:rPr>
        <w:t>。戒除自负固守、放任摆烂的不良心态，明晰小错不改积大弊、执迷偏行招阻滞的客观规律。正视该事务持续跑偏、弊病累积的现实状态，不偏执、不侥幸、不拖延，主动破除主观执念，及时复盘纠错、规整推进节奏，截断隐患蔓延源头，化解后续重大阻碍，推动该事务重回正向推进轨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08652">
    <w:lvl>
      <w:start w:val="1"/>
      <w:numFmt w:val="decimal"/>
      <w:suff w:val="tab"/>
      <w:lvlText w:val="%1."/>
      <w:rPr>
        <w:color w:val="3370ff"/>
      </w:rPr>
    </w:lvl>
  </w:abstractNum>
  <w:abstractNum w:abstractNumId="240865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408652"/>
  </w:num>
  <w:num w:numId="2">
    <w:abstractNumId w:val="24086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2026-08-07T13:09:34Z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{"Label":"1","ContentProducer":"001191110102MACQD9K64010000","ProduceID":"7671276140347149559","ReservedCode1":"","ContentPropagator":"","PropagateID":"","ReservedCode2":""}</vt:lpwstr>
  </property>
</Properties>
</file>