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00165｜过刚失度，逞强招损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摘要：行事过刚、逞强冒进，突破分寸底线，必将招致损耗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陷入行事过刚、逞强冒进的失衡局面，这件事务有着清晰的推进分寸、行事底线与适配节奏，需张弛有度、稳妥守度方能平稳落地。但当下你心性过于刚硬执拗，处事风格激进强势，习惯逆势硬推、强行突破，不屑柔性变通、不懂适度退让，极易主观越界、突破事务固有底线与规则尺度。就这件事务而言，所有的刚猛逞强、过度冒进，都不属于正向精进，而是失衡妄动，无需外界阻碍干预，自身失度的行事方式便会人为制造隐患、滋生损耗。看似积极进取、全力推进，实则不断打乱事态平衡、消耗既有积淀，导致努力白费、进度受损。该事务局面下易滋生两类负面心态，一是刚愎自用，过度自信武断，固守自身判断、拒绝变通与规劝；二是急进越界，执念快速成事，无视分寸规则、肆意突破边界，最终徒劳耗损、事态受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最忌刚硬逞强、越界妄为。切忌自作主张、强势推进执行，固执己见、漠视协作规则与岗位分寸，更不能急于求成、突破做事底线盲目冒进。过刚执拗、不懂配合变通的姿态，极易引发协作矛盾、造成履职失误，持续消耗个人口碑与时间精力，招致无谓损耗。建议收敛刚烈心性，恪守岗位分寸，谦和稳妥履职、灵活适配节奏，杜绝逞强妄动、越界行事。拥有相对自主权，有一定统筹资源能力、具备主导条件的人，在这件事务的统筹布局中，切忌刚猛独断、强势施策，不可仅凭主观执念激进布局、硬推变革。切勿恃权逞强、突破运营分寸与发展底线，孤行独断、排斥柔性调整，极易造成资源空耗、布局失衡、团队脱节，引发事态损耗与推进危机。需主动柔化统筹节奏，刚柔并济、严守尺度，摒弃偏执冒进的打法，稳住全局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总起段：守柔有度、知止慎行，则事态平稳、无有耗损；过刚逞强、越界妄动，则张力失衡、必招损耗。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硬木强折、过刚易损：硬质木料毫无柔韧缓冲之力，一味强硬承压、逆势硬顶，不肯顺势退让、适度缓释，一旦超出承载分寸，便极易弯折破损、徒增损耗，尽显刚极必损的规律。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直弦满张、过盈必耗：弓弦长期紧绷拉满、不知松弛自持，持续过度发力、突破弹性底线，始终处于极致刚性状态，久而久之必然劳损失效、张力亏虚，难以长久续用。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整体觉察思路：以硬木过刚易折损、直弦满张必劳损的通俗物象为警示参照，此阶段核心在于</w:t>
      </w:r>
      <w:r>
        <w:rPr>
          <w:rFonts w:eastAsia="等线" w:ascii="Arial" w:cs="Arial" w:hAnsi="Arial"/>
          <w:b w:val="true"/>
          <w:sz w:val="22"/>
        </w:rPr>
        <w:t>收敛刚气、恪守分寸、戒强戒进</w:t>
      </w:r>
      <w:r>
        <w:rPr>
          <w:rFonts w:eastAsia="等线" w:ascii="Arial" w:cs="Arial" w:hAnsi="Arial"/>
          <w:sz w:val="22"/>
        </w:rPr>
        <w:t>。戒除刚愎自用、冒进越界的不良心态，明晰过刚则易折、逞强必招损的客观规律。坦然接纳这件事务需张弛有度、守度稳行的发展节奏，摒弃强势执拗、越界妄动的行事方式，柔和心性、严守底线、知止有度，杜绝人为折腾与无谓损耗，稳稳稳住事态节奏、规避各类不利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67058">
    <w:lvl>
      <w:start w:val="1"/>
      <w:numFmt w:val="decimal"/>
      <w:suff w:val="tab"/>
      <w:lvlText w:val="%1."/>
      <w:rPr>
        <w:color w:val="3370ff"/>
      </w:rPr>
    </w:lvl>
  </w:abstractNum>
  <w:abstractNum w:abstractNumId="136705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67058"/>
  </w:num>
  <w:num w:numId="2">
    <w:abstractNumId w:val="13670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2026-08-07T13:32:27Z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{"Label":"1","ContentProducer":"001191110102MACQD9K64010000","ProduceID":"7671282032110734572","ReservedCode1":"","ContentPropagator":"","PropagateID":"","ReservedCode2":""}</vt:lpwstr>
  </property>
</Properties>
</file>