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00166｜刚柔合度，稳局成事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摘要：刚柔相济、处事有度，稳固局面、平衡得失，安稳成事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张弛适配、可调可控的良性平衡阶段，这件事务的推进节奏、权责尺度与得失空间相对清晰，既需要坚定的执行力稳住底盘，也需要柔和的变通适配局势，最适配刚柔相济、进退有度的处事方式。当下你可摒弃极端行事的偏差，既能坚守原则底线、稳住核心立场，又能灵活变通、顺势调整，不刚猛逞强、不绵软懈怠，精准把控事务推进的分寸与节奏。就这件事务而言，核心优势在于心态平衡、处事中正，能够合理取舍得失、规整进退尺度，让事态始终处于稳定有序的推进状态，无过激偏差、无无谓损耗。只要持续维持刚柔兼顾的状态，便可稳固整体局面、平稳落地成果。该事务局面下易滋生两类负面心态，一是过刚偏执，固守强硬姿态不懂变通，尺度僵硬、处事极端造成人际与事态阻力；二是过柔懈怠，缺乏主见、一味迁就退让，守不住底线立场，导致局面松散、得失失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在这件事务的协作推进中，需秉持刚柔相济的处事原则。履职执行上坚守标准、恪守本职底线，不敷衍懈怠、不随意迁就，同时待人协作谦和有度、灵活变通，避免强硬执拗引发矛盾。平衡好坚守规则与适配团队的尺度，不争执、不盲从，稳住协作节奏、守住履职本分，在有度有节的状态中稳步落地、安稳成事。拥有相对自主权，有一定统筹资源能力、具备主导条件的人，在这件事务的统筹布局中，需做到刚柔兼顾、张弛适配。决策布局坚守核心原则、稳住整体格局，刚性把控关键流程与底线标准；落地推进适度柔性调和，灵活调整细节节奏、包容合理差异。平衡进取与守成、收益与风险的关系，不激进冒进、不松弛放任，以有度统筹稳固全局、平衡得失，实现事态长效安稳、有序成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总起段：刚柔相济、处事有度，则局面稳固、安稳成事；刚柔失偏、进退无度，则节奏紊乱、得失失衡。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韧木兼刚、屈伸合度：坚韧木质兼具刚性支撑与柔性张力，承压时坚定立稳、受力时适度屈伸，不硬折、不瘫软，凭借刚柔适配的特性稳住形态、长久稳固。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流水随形、守本有度：水流内核本源不变、顺势向前，外在形态随境微调，遇阻则绕、顺势则进，坚守本心又灵活变通，动静平衡、行稳有序。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整体觉察思路：以韧木屈伸稳形态、流水随形守本心的通俗物象为正向参照，此阶段核心在于</w:t>
      </w:r>
      <w:r>
        <w:rPr>
          <w:rFonts w:eastAsia="等线" w:ascii="Arial" w:cs="Arial" w:hAnsi="Arial"/>
          <w:b w:val="true"/>
          <w:sz w:val="22"/>
        </w:rPr>
        <w:t>刚柔相济、处事有度、稳局成事</w:t>
      </w:r>
      <w:r>
        <w:rPr>
          <w:rFonts w:eastAsia="等线" w:ascii="Arial" w:cs="Arial" w:hAnsi="Arial"/>
          <w:sz w:val="22"/>
        </w:rPr>
        <w:t>。戒除刚愎偏执、软弱懈怠的不良心态，明晰刚柔互补方长久、进退有度方稳成的客观规律。坦然接纳这件事务需平衡进退、适配节奏的发展需求，不偏刚、不偏柔，坚守原则底线的同时灵活变通，精准平衡得失、规整事态节奏，持续稳固全局盘面，最终安稳有序、踏实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64472">
    <w:lvl>
      <w:start w:val="1"/>
      <w:numFmt w:val="decimal"/>
      <w:suff w:val="tab"/>
      <w:lvlText w:val="%1."/>
      <w:rPr>
        <w:color w:val="3370ff"/>
      </w:rPr>
    </w:lvl>
  </w:abstractNum>
  <w:abstractNum w:abstractNumId="146447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64472"/>
  </w:num>
  <w:num w:numId="2">
    <w:abstractNumId w:val="14644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2026-08-07T13:33:00Z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{"Label":"1","ContentProducer":"001191110102MACQD9K64010000","ProduceID":"7671282146548042940","ReservedCode1":"","ContentPropagator":"","PropagateID":"","ReservedCode2":""}</vt:lpwstr>
  </property>
</Properties>
</file>