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00167｜外盛内虚，浮华难久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摘要：看似兴盛、实则虚浮，外盛内空、难以长久维系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表象繁华、内里虚空的虚假兴盛阶段，这件事务外在声势亮眼、场面热闹，看似进展向好、态势兴盛，具备成熟成型的繁荣表象，但内核根基空虚、实质支撑不足，缺乏长效存续的核心底气与底层积淀。就这件事务而言，当下的兴盛属于浅层浮华、无根之盛，如同枯树开花、短时绚烂，仅能维持表面体面，无法落地实质增益、支撑长久发展。所有的热闹态势、向好表象，都是短期虚势，经不起时间打磨与细节推敲，若一味沉迷表层繁荣、忽视内核短板，任由虚浮态势延续，后续必然逐步衰败、态势崩塌。该事务局面下易滋生两类负面心态，一是虚骄自满，被外在兴盛表象迷惑，误将浮华当实力，疏于固本补漏、深耕内核；二是敷衍维持，执着于表面体面、刻意造势撑局，不愿直面内里空洞的实质问题，持续透支仅剩的表层态势，最终盛势尽失、难以为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当下呈现的成效、口碑与进度多为表面光鲜，缺乏扎实的能力积淀与落地成果支撑，属于典型的虚浮向好。切忌沉溺表层优势、自我满足，需清醒认知自身能力短板与事务内里空缺，摒弃造势敷衍的心态，踏实深耕本职、补齐实质短板，主动夯实个人立身根基，褪去虚浮表象、沉淀真实实力。拥有相对自主权，有一定统筹资源能力、具备主导条件的人，在这件事务的统筹布局中，整体格局看似兴盛完善、态势向好，实则内部体系虚空、核心支撑薄弱，布局浮于表面、缺乏长效内核。当下无实质过错、暂无显性危机，但绝无长久优势。需摒弃造势维稳的虚浮思路，不再执着外在排场与表层数据，向内梳理体系漏洞、夯实事务根基，剥离虚假兴盛态势，以务实深耕替代表面繁华，规避后续衰败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总起段：务实固本、褪去浮华，则态势可续、长久安稳；执于表象、内空虚浮，则繁华短暂、难以维系。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枯杨生华、绚烂无根：枯朽杨树短暂开花，外在绚烂夺目、长势喜人，看似生机繁盛，实则根系枯竭、内里衰败，无根本养分支撑，这份浮华生机转瞬即逝、无法长久存续。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浮灯映影、虚景无实：水面灯火摇曳生辉、光影璀璨，看似满目盛景、热闹繁盛，实则皆是虚影、无有实体，风动即散、水动即消，无法稳固留存、长久维系。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整体觉察思路：以枯杨生华难长久、浮灯映影皆虚景的通俗物象为警示参照，此阶段核心在于</w:t>
      </w:r>
      <w:r>
        <w:rPr>
          <w:rFonts w:eastAsia="等线" w:ascii="Arial" w:cs="Arial" w:hAnsi="Arial"/>
          <w:b w:val="true"/>
          <w:sz w:val="22"/>
        </w:rPr>
        <w:t>看破浮华、摒弃虚浮、务实固本</w:t>
      </w:r>
      <w:r>
        <w:rPr>
          <w:rFonts w:eastAsia="等线" w:ascii="Arial" w:cs="Arial" w:hAnsi="Arial"/>
          <w:sz w:val="22"/>
        </w:rPr>
        <w:t>。戒除虚骄自满、敷衍造势的不良心态，明晰外盛难持久、内实方长存的客观规律。坦然接纳这件事务表象兴盛、内里虚空的真实状态，不被浅层繁华迷惑、不依赖虚势维稳，主动剥离表面冗余、深耕事务内核，补齐内在短板、夯实立身根基，褪去虚浮态势、沉淀真实底蕴，让事务摆脱短时浮华、走向长效做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293">
    <w:lvl>
      <w:start w:val="1"/>
      <w:numFmt w:val="decimal"/>
      <w:suff w:val="tab"/>
      <w:lvlText w:val="%1."/>
      <w:rPr>
        <w:color w:val="3370ff"/>
      </w:rPr>
    </w:lvl>
  </w:abstractNum>
  <w:abstractNum w:abstractNumId="15629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6293"/>
  </w:num>
  <w:num w:numId="2">
    <w:abstractNumId w:val="1562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2026-08-07T13:33:51Z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{"Label":"1","ContentProducer":"001191110102MACQD9K64010000","ProduceID":"7671282393752603878","ReservedCode1":"","ContentPropagator":"","PropagateID":"","ReservedCode2":""}</vt:lpwstr>
  </property>
</Properties>
</file>