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00173｜居中守正，稳衡脱困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摘要：险局之中居中守正、沉稳处事，平衡得失、平稳脱困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身处险势未消、困局仍在的承压阶段，这件事务依旧存在险阻牵绊，整体局势尚未完全明朗，脱困通路并未彻底打通，依旧需要谨慎自持、稳步周旋。就这件事务而言，当下最核心的破局关键，不在于激进攻坚、强行突围，而在于居中守正、沉稳自持。需恪守中正处事尺度，不偏不倚、不急不躁，摒弃极端行事与偏执强求，合理平衡进退分寸与利弊得失，维持事态整体平衡。当前险局并非绝境，虽有困顿但无致命危机，只要守住本心正道、稳住处事节奏，不冒进、不松懈，便能逐步抚平波折、消解阻滞，以平稳姿态慢慢走出困局。该事务局面下易滋生两类负面心态，一是偏极失衡，急于脱困而过度发力、取舍极端，打破局势平衡，反而加重困顿；二是松弛懈怠，误以为局势可控而放松警惕、疏于维稳，导致险势反复、难以及时脱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全程处于险局周旋状态，履职推进小有阻碍、难言顺遂。切忌处事偏激、急功近利，不要为求快速脱困随意取舍、打破做事分寸。需坚守岗位本心、恪守中正准则，沉稳应对各项问题，稳妥处理工作细节，平衡好付出与沉淀、进取与守成的关系。以端正姿态配合团队、落地本职，不偏不倚、稳扎稳打，依托平稳积累逐步消解履职困境、安稳脱困。拥有相对自主权，有一定统筹资源能力、具备主导条件的人，在这件事务的统筹布局中，全局处于险中求稳的关键阶段，格局存在小幅短板、尚未完全稳固。切忌极端施策、片面求进，切勿盲目扩张或消极固守，避免统筹失衡、得失错位。需秉持居中守正的统筹思维，规整全局节奏、平衡各项利弊，补齐体系细微漏洞，沉稳把控事态走向，以平衡稳局替代强行破局，循序渐进稳住整体态势、平稳脱离险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总起段：守正居中、沉稳衡势，则险局渐解、平稳脱困；处事偏执、得失失衡，则波折存续、困局难脱。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流水持衡、不盈不溢：积水入坎有度、持平不溢，既能顺势缓释险势，又不盲目泛滥失控，秉持中正平衡之态，慢慢抚平低洼、规整地势，终得平稳通途、消解险困。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平尺校准、矫偏归正：以中正标尺校准偏差、规整局势，不偏左不偏右，纠治极端、平衡得失，让错乱局势逐步归位，以沉稳姿态稳步渡险、脱离困顿。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整体觉察思路：以流水持衡不盈溢、平尺校准归中正的通俗物象为正向参照，此阶段核心在于</w:t>
      </w:r>
      <w:r>
        <w:rPr>
          <w:rFonts w:eastAsia="等线" w:ascii="Arial" w:cs="Arial" w:hAnsi="Arial"/>
          <w:b w:val="true"/>
          <w:sz w:val="22"/>
        </w:rPr>
        <w:t>居中守正、沉稳处事、平衡脱困</w:t>
      </w:r>
      <w:r>
        <w:rPr>
          <w:rFonts w:eastAsia="等线" w:ascii="Arial" w:cs="Arial" w:hAnsi="Arial"/>
          <w:sz w:val="22"/>
        </w:rPr>
        <w:t>。戒除偏执极端、懈怠失度的不良心态，明晰险中守正方安稳、平衡进退可脱困的客观规律。坦然接纳这件事务险势未消、需稳待解的现状，始终坚守中正本心、稳住沉稳节奏，合理权衡得失、把控进退尺度，不躁不怠、不偏不倚，逐步抚平事态波折、消解险阻牵绊，最终平稳渡险、从容脱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2971">
    <w:lvl>
      <w:start w:val="1"/>
      <w:numFmt w:val="decimal"/>
      <w:suff w:val="tab"/>
      <w:lvlText w:val="%1."/>
      <w:rPr>
        <w:color w:val="3370ff"/>
      </w:rPr>
    </w:lvl>
  </w:abstractNum>
  <w:abstractNum w:abstractNumId="24297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42971"/>
  </w:num>
  <w:num w:numId="2">
    <w:abstractNumId w:val="2429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2026-08-07T13:38:05Z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{"Label":"1","ContentProducer":"001191110102MACQD9K64010000","ProduceID":"7671283476135759140","ReservedCode1":"","ContentPropagator":"","PropagateID":"","ReservedCode2":""}</vt:lpwstr>
  </property>
</Properties>
</file>