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00185｜守心自持，静定无失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摘要：坚守本心、沉稳自持，不被外物扰动，安稳立身无失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需静定守心、稳住本心的修身自持阶段，这件事务外在环境多有波动扰动，外界声音、人事牵绊与局势变化交错叠加，容易干扰个人判断、动摇处事节奏。当下局势虽有感应往来、人际互动，但不宜过度共情、轻易随外境起伏，核心重心不在于主动联动、刻意迎合外界，而在于收敛外驰之心、稳住内在定力。可参考的稳妥状态是坚守自我本心、保持沉稳自持，对外界纷扰保持适度疏离，不被外物得失、他人言行轻易牵动心绪与行动，守住自身立场与处事原则。现阶段无明显凶险波折，只要做到心定身稳、不随境迁，大多可以安稳立身、少生过失、规避无谓损耗。该事务局面下可重点规避两类负面心态，一是心随境动，极易被外界变化、他人态度扰动，心志摇摆、定力不足；二是过度迎合，刻意迁就外境、盲从他人节奏，舍弃自我本心与固有立场，最终行事失序、立身不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人际互动频繁、外界变数较多，容易被团队氛围、他人节奏与临时变动带动心态。切忌心神浮动、随意迁就外境，不要为了迎合他人、适配局势而动摇本心、改变原则。可考虑保持沉稳自持的履职状态，安分守位、静定做事，对外界纷扰淡然处之，不盲从、不躁动，守住岗位底线与处事分寸，以定心稳行规避履职疏漏，安稳立身、稳步落地。拥有相对自主权，有一定统筹资源能力、具备主导条件的人，在这件事务的统筹布局中，外部诱惑、变动信号、多元建议较多，容易干扰全局决策与布局节奏。切忌外扰攻心、随意调整规划，不要因外界波动频繁改动布局、摇摆决策。需坚守统筹本心、稳住全局定力，理性甄别外界信息，不被外物利弊、舆论趋势扰动格局，保持统筹节奏恒定有序，静定控局、稳守底盘，让整体事态平稳运行、少有无谓过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总起段：守心静定、沉稳自持，则外扰不侵、立身无失；心随外物、轻易动摇，则局势易乱、多生偏颇。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静山自持、风雨不移：山体沉稳静定、扎根深厚，立身端正、本心不动，任凭外界风雨飘摇、气流扰动，始终坚守本位、不为外物所移，安稳矗立、无倾无失。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深潭藏静、波澜不生：深水潭底静定安宁、本心澄澈，表层微风轻拂、外境略有起伏，内里依旧沉稳不动，不随浅层波动起波澜，心静境稳、自持无扰。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整体觉察思路：以静山不移抗外扰、深潭藏静稳本心的通俗物象为正向参照，此阶段核心在于</w:t>
      </w:r>
      <w:r>
        <w:rPr>
          <w:rFonts w:eastAsia="等线" w:ascii="Arial" w:cs="Arial" w:hAnsi="Arial"/>
          <w:b w:val="true"/>
          <w:sz w:val="22"/>
        </w:rPr>
        <w:t>坚守本心、沉稳自持、外扰不侵</w:t>
      </w:r>
      <w:r>
        <w:rPr>
          <w:rFonts w:eastAsia="等线" w:ascii="Arial" w:cs="Arial" w:hAnsi="Arial"/>
          <w:sz w:val="22"/>
        </w:rPr>
        <w:t>。规避心神浮动、盲从外境的不良心态，明晰心定则境稳、扰动则事偏的客观规律。坦然接纳这件事务外境多变、易生扰动的阶段现状，刻意收敛外驰心绪、筑牢内在定力，不被外物得失、他人言行轻易影响，始终守住本心立场、保持沉稳节奏，静定处事、安稳立身，大概率可以全程无失、平稳存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43919">
    <w:lvl>
      <w:start w:val="1"/>
      <w:numFmt w:val="decimal"/>
      <w:suff w:val="tab"/>
      <w:lvlText w:val="%1."/>
      <w:rPr>
        <w:color w:val="3370ff"/>
      </w:rPr>
    </w:lvl>
  </w:abstractNum>
  <w:abstractNum w:abstractNumId="64392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643919"/>
  </w:num>
  <w:num w:numId="2">
    <w:abstractNumId w:val="6439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2026-08-07T14:18:06Z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{"Label":"1","ContentProducer":"001191110102MACQD9K64010000","ProduceID":"7671293791681366970","ReservedCode1":"","ContentPropagator":"","PropagateID":"","ReservedCode2":""}</vt:lpwstr>
  </property>
</Properties>
</file>