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00192｜僵化难持，躁动生弊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摘要：恒久僵化、躁动妄为，固守不变终将滋生弊端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进退失度、双向失衡的矛盾阶段，这件事务本需稳守常态、适度迭代，以恒定节奏配合灵活调整，方能长久平稳推进。但当下自身行事陷入两极偏差，要么过度固守固有模式，思维与做法彻底僵化，不懂顺势优化、与时俱进，长期一成不变；要么反向躁动妄为，频繁随意改动节奏、折腾布局，过度折腾打破稳态。长久僵化死守会让事务适配性持续下降，逐步积累隐性弊端、滋生发展阻滞；频繁躁动妄为则会打乱固有秩序、消耗既有积淀，让稳态格局彻底失衡。两种极端状态皆不利于长线发展，看似一静一动，本质都是违背事务长效发展规律，久而行事无功、弊端频发。可参考的稳妥处事方式为摒弃僵化死守与躁动折腾的双重偏差，拿捏稳变平衡，在守住核心准则与长线初心的基础上，适度微调优化、顺势迭代，以恒定打底、以变通提质，规避两极失衡带来的各类隐患。该事务局面下可重点规避两类负面心态，一是固化执拗，执念旧有状态、拒绝一切调整，任由局势滞后、弊端累积；二是躁动无度，心性浮躁、喜好反复折腾，频繁改动既定节奏与规划，破坏事务稳态根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履职易陷入两极问题：要么死板执行、固守旧规，不懂灵活适配当下需求，积累工作漏洞；要么心性浮躁、随意改动执行节奏，反复折腾细节，打乱团队协作秩序，滋生履职弊端。可考虑稳中求变、有度调整，坚守岗位基本准则，结合实际场景微调细节，规避僵化与妄动带来的隐患。拥有相对自主权，有一定统筹资源能力、具备主导条件的人，统筹布局易出现失衡问题，要么体系固化不迭代，老旧模式脱节积弊；要么频繁调整策略、无端折腾全局，损耗原有积淀、打乱稳态。可考虑建立稳变兼具的统筹逻辑，守住核心框架，顺势优化细节，克制僵化守旧与躁动妄为，保障全局长效有序精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总起段：守变有度、动静相宜，则稳态长存、无弊无耗；僵化死守、躁动妄为，则积弊渐生、事态难持。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静水久滞、积浊生弊：水体长期静止不变、毫无流动迭代，看似安稳守恒，实则死水僵化、杂质沉积，久而久之滋生浑浊弊端，失去鲜活生机，难以持续滋养事态。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疾风乱涌、频动耗形：气流频繁躁动、无端涌动，反复折腾、无序变动，没有恒定节奏与稳定态势，过度妄动消耗原有格局，导致秩序混乱、根基受损。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整体觉察思路：以静水久滞积浊弊、疾风频动耗稳态的通俗物象为警示参照，此阶段核心在于</w:t>
      </w:r>
      <w:r>
        <w:rPr>
          <w:rFonts w:eastAsia="等线" w:ascii="Arial" w:cs="Arial" w:hAnsi="Arial"/>
          <w:b w:val="true"/>
          <w:sz w:val="22"/>
        </w:rPr>
        <w:t>摒弃僵化、克制躁动、守变均衡</w:t>
      </w:r>
      <w:r>
        <w:rPr>
          <w:rFonts w:eastAsia="等线" w:ascii="Arial" w:cs="Arial" w:hAnsi="Arial"/>
          <w:sz w:val="22"/>
        </w:rPr>
        <w:t>。规避固化执拗、躁动无度的不良心态，明晰僵化必积弊、妄动必失衡的客观规律。坦然接纳这件事务易两极失衡、滋生弊端的阶段现状，不偏执死守、不肆意折腾，拿捏动静平衡、把控稳变尺度，以恒定守根基、以变通除积弊，稳步消解发展隐患，维持事态长效有序、平稳精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91426">
    <w:lvl>
      <w:start w:val="1"/>
      <w:numFmt w:val="decimal"/>
      <w:suff w:val="tab"/>
      <w:lvlText w:val="%1."/>
      <w:rPr>
        <w:color w:val="3370ff"/>
      </w:rPr>
    </w:lvl>
  </w:abstractNum>
  <w:abstractNum w:abstractNumId="129142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291426"/>
  </w:num>
  <w:num w:numId="2">
    <w:abstractNumId w:val="129142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2026-08-07T14:28:20Z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{"Label":"1","ContentProducer":"001191110102MACQD9K64010000","ProduceID":"7671296405064158176","ReservedCode1":"","ContentPropagator":"","PropagateID":"","ReservedCode2":""}</vt:lpwstr>
  </property>
</Properties>
</file>