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00196｜审势抽身，隐退蓄力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摘要：审时度势、果断抽身，适时隐退、修身蓄力，自有获益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宜退不宜进、蓄力待时的关键阶段，当下整体局势推进空间有限，显性机遇逐步收窄，持续强行深耕、执意进取，很难收获正向增量，反而容易徒增消耗、陷入被动僵持。现阶段的处事智慧不在于逆势攻坚、强行突破，而在于看清局势节奏、读懂阶段规律，做到审时度势、知进知退。可参考的稳妥处事方式为主动收敛进取姿态，适时适度抽身放缓，不执着于短期推进、即时成效，选择低调隐退、静心修身、沉淀蓄力。暂时放缓并非消极放弃，而是规避无谓消耗、积攒自身底气，等待局势回暖、时机成熟后再顺势发力，这类以退为进的处事方式，可参考收获长效益处、沉淀实质积累。该事务局面下可重点规避两类负面心态，一是逆势强求，看不清局势局限，依旧执着攻坚、盲目推进，消耗精力却难获成效；二是不懂收敛，贪恋当下态势、不愿适时退场，过度僵持导致优势流失、徒增损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事态增量空间有限，持续硬拼难有突破。可考虑顺势收敛姿态，踏实沉淀履职能力，不急功近利、不强行争先，以低调蓄力替代盲目进取，规避无效消耗，积累隐性优势。拥有相对自主权，有一定统筹资源能力、具备主导条件的人，当下全局局势趋于收敛，拓展红利缩减，逆势拓局容易得不偿失。可考虑主动收缩布局、精简冗余动作，暂时隐退休整、复盘沉淀，打磨体系、夯实根基，以养势蓄力替代激进扩张，为后续突破蓄能造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总起段：审势知退、蓄力沉修，则藏势存利、静待时来；逆势强求、不知收敛，则空耗无得、徒损根基。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时序收敛、藏势养机：时节流转自有收敛周期，万物顺势藏锋、静心休养，不强行生发、不逆势张扬，在静默沉淀中积蓄生机，待时机回暖便可顺势勃发、收获硕果。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潮落静守、蓄势待升：潮水回落、态势收歇，此时不宜逐浪强求、逆势奔走，静心退守、安稳自持，留存自身气力、积蓄势能，待潮起之时方可顺势前行、大有可为。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整体觉察思路：以时序收敛善养机、潮落静守蓄势能的通俗物象为正向参照，此阶段核心在于</w:t>
      </w:r>
      <w:r>
        <w:rPr>
          <w:rFonts w:eastAsia="等线" w:ascii="Arial" w:cs="Arial" w:hAnsi="Arial"/>
          <w:b w:val="true"/>
          <w:sz w:val="22"/>
        </w:rPr>
        <w:t>审时度势、适时隐退、修身蓄力</w:t>
      </w:r>
      <w:r>
        <w:rPr>
          <w:rFonts w:eastAsia="等线" w:ascii="Arial" w:cs="Arial" w:hAnsi="Arial"/>
          <w:sz w:val="22"/>
        </w:rPr>
        <w:t>。规避逆势强求、执念进取的不良心态，明晰知退方储能、守静可获益的客观规律。坦然接纳这件事务阶段性收敛、不宜激进的发展现状，主动看清局势节奏，果断抽身脱离无效僵持，静心沉淀、修身养势，留存自身底气、夯实内在根基，静待时机成熟后再顺势突破、收获成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15747">
    <w:lvl>
      <w:start w:val="1"/>
      <w:numFmt w:val="decimal"/>
      <w:suff w:val="tab"/>
      <w:lvlText w:val="%1."/>
      <w:rPr>
        <w:color w:val="3370ff"/>
      </w:rPr>
    </w:lvl>
  </w:abstractNum>
  <w:abstractNum w:abstractNumId="131574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15747"/>
  </w:num>
  <w:num w:numId="2">
    <w:abstractNumId w:val="13157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2026-08-07T14:31:30Z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{"Label":"1","ContentProducer":"001191110102MACQD9K64010000","ProduceID":"7671297252245441502","ReservedCode1":"","ContentPropagator":"","PropagateID":"","ReservedCode2":""}</vt:lpwstr>
  </property>
</Properties>
</file>