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00197｜中正自持，安稳收官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摘要：中正自持、从容进退，善始善终、安稳收官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分寸有度、进退可控的稳妥阶段，这件事务整体局势趋于明朗，发展节奏可控有序，无极端波折与强制阻滞，具备从容收尾、稳步落地的良好条件。当下自身心性沉稳、处事中正，能够保持清醒判断力，不急躁冒进、不消极懈怠，进退皆有尺度、取舍自有章法。面对事态进展既能主动把握时机、适度推进，也能适时收敛节奏、稳妥守局，心态从容稳定、行事公允有度。现阶段无需强行攻坚、不必刻意造势，只需维持中正自持的状态，恪守稳妥行事节奏，循序渐进完善细节、补齐收尾短板，便可实现善始善终、安稳收官。该事务局面下可重点规避两类负面心态，一是心态失衡，临近收尾心生浮躁、急于求成，打乱稳健节奏、分寸失度；二是松懈怠慢，后期放松标准、敷衍收尾，导致前期积淀损耗、收官疏漏留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前工作推进节奏平稳、局势可控，适合稳扎稳打、精细收尾。可保持中正履职心态，不躁不怠、进退从容，严谨把控细节标准，踏实完成后续流程，确保工作落地规整、善始善终。拥有相对自主权，有一定统筹资源能力、具备主导条件的人，全局事态进入收尾稳固阶段，整体格局成熟有序。可秉持中正统筹思路，从容调控进度、规整细节，不盲目扩张、不松懈控局，稳步完善体系、收束事态，实现全局安稳收官、长效稳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总起段：中正有度、从容持守，则诸事稳进、收官安然；心躁失度、松懈放任，则细节疏漏、难尽善终。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四时有序、收放得宜：四季流转进退有度、节律中正，生发不躁、收敛不怠，依照固有节奏稳步轮转，终能圆满收官、循环不息，对应人事进退从容、稳成无憾。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平流缓进、行止安然：静水溪流平稳流淌、有度有序，不急不湍、不滞不废，全程节奏规整、行止从容，最终顺畅归流、安稳落局。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整体觉察思路：以四时有序终圆满、平流缓进稳收官的通俗物象为正向参照，此阶段核心在于</w:t>
      </w:r>
      <w:r>
        <w:rPr>
          <w:rFonts w:eastAsia="等线" w:ascii="Arial" w:cs="Arial" w:hAnsi="Arial"/>
          <w:b w:val="true"/>
          <w:sz w:val="22"/>
        </w:rPr>
        <w:t>中正自持、进退从容、善始善终</w:t>
      </w:r>
      <w:r>
        <w:rPr>
          <w:rFonts w:eastAsia="等线" w:ascii="Arial" w:cs="Arial" w:hAnsi="Arial"/>
          <w:sz w:val="22"/>
        </w:rPr>
        <w:t>。规避浮躁冒进、松懈怠慢的不良心态，明晰有度方长久、稳行可善终的客观规律。坦然接纳这件事务局势平稳、进退可控的阶段现状，始终保持中正沉稳的处事姿态，把控好进退尺度与执行细节，稳住全程节奏、严谨收尾落地，收获安稳圆满的最终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2145">
    <w:lvl>
      <w:start w:val="1"/>
      <w:numFmt w:val="decimal"/>
      <w:suff w:val="tab"/>
      <w:lvlText w:val="%1."/>
      <w:rPr>
        <w:color w:val="3370ff"/>
      </w:rPr>
    </w:lvl>
  </w:abstractNum>
  <w:abstractNum w:abstractNumId="46214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62145"/>
  </w:num>
  <w:num w:numId="2">
    <w:abstractNumId w:val="4621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2026-08-07T14:31:58Z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{"Label":"1","ContentProducer":"001191110102MACQD9K64010000","ProduceID":"7671297343718984641","ReservedCode1":"","ContentPropagator":"","PropagateID":"","ReservedCode2":""}</vt:lpwstr>
  </property>
</Properties>
</file>