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00203｜势缓收锋，柔守安稳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摘要：势态渐缓、收敛锋芒，守柔自持、安稳无虞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盛势渐收、节奏放缓的过渡阶段，前期强劲的上行势能逐步平复，事态从激进拓进转向平稳收敛，不再适合强攻突进、锋芒外露。当下局势的核心特点是宜静不宜躁、宜守不宜进，过度张扬逞强、刻意发力拓新，反而容易徒劳耗力、滋生多余波折。顺势收敛外在锋芒，褪去激进扩张的心性，转为柔和自持、沉稳守局，更适配现阶段事态规律。以柔和姿态稳住现有盘面、踏实沉淀，不贪增量、不逐速效，便可规避无谓消耗与潜在风险，维持整体安稳无虞的发展状态。该事务局面下可重点规避两类负面心态，一是恋势强求，沉溺过往盛势、不甘节奏放缓，依旧强行发力、逆势拓进；二是张扬外露，处事锋芒过盛、姿态强硬，不懂柔性变通，导致事态平添阻滞、难以安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成长势能逐步平缓，进取窗口趋于收敛。切忌逞强冒进、高调张扬，可收敛锋芒、踏实履职，以柔和自持的姿态稳守岗位节奏，稳中蓄力、安稳度日。拥有相对自主权，有一定统筹资源能力、具备主导条件的人，全局上行势头放缓，扩张红利逐步消退。切忌逆势拓局、激进折腾，可主动收敛布局节奏，守柔用缓、稳控盘面，聚焦固本守成，保障全局平稳无耗、安稳有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总起段：势缓收锋、守柔自持，则安稳无扰、长守安泰；逆势张扬、强求激进，则心生耗损、事态难宁。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盛暑渐收、温和平稳：极致盛势过后，暑气逐步收敛缓释，褪去刚烈燥热、归于温润平和，不燥不烈、静守常态，得以规避极端损耗，维持长久安稳气象。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劲帆落收、稳渡安行：船只乘风盛航过后，顺势落帆收势、放缓行进节奏，不再凭风疾冲、张扬疾驰，以柔缓自持的姿态平稳渡行，全程安稳无险、无扰无虞。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整体觉察思路：以盛暑渐收归平和、劲帆落收稳渡行的通俗物象为正向参照，此阶段核心在于</w:t>
      </w:r>
      <w:r>
        <w:rPr>
          <w:rFonts w:eastAsia="等线" w:ascii="Arial" w:cs="Arial" w:hAnsi="Arial"/>
          <w:b w:val="true"/>
          <w:sz w:val="22"/>
        </w:rPr>
        <w:t>收敛锋芒、势缓守柔、自持安稳</w:t>
      </w:r>
      <w:r>
        <w:rPr>
          <w:rFonts w:eastAsia="等线" w:ascii="Arial" w:cs="Arial" w:hAnsi="Arial"/>
          <w:sz w:val="22"/>
        </w:rPr>
        <w:t>。规避恋势强求、张扬过盛的不良心态，明晰势收宜守柔、缓进方无虞的客观规律。坦然接纳这件事务盛势渐缓、由动转静的阶段现状，主动褪去激进心性与外露锋芒，以柔和自持、沉稳守正的姿态稳住当下格局，不妄进、不折腾，静待时局平稳流转，收获安稳无虞的长效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897">
    <w:lvl>
      <w:start w:val="1"/>
      <w:numFmt w:val="decimal"/>
      <w:suff w:val="tab"/>
      <w:lvlText w:val="%1."/>
      <w:rPr>
        <w:color w:val="3370ff"/>
      </w:rPr>
    </w:lvl>
  </w:abstractNum>
  <w:abstractNum w:abstractNumId="14089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0897"/>
  </w:num>
  <w:num w:numId="2">
    <w:abstractNumId w:val="1408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2026-08-07T14:37:08Z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{"Label":"1","ContentProducer":"001191110102MACQD9K64010000","ProduceID":"7671298686190783425","ReservedCode1":"","ContentPropagator":"","PropagateID":"","ReservedCode2":""}</vt:lpwstr>
  </property>
</Properties>
</file>