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00210｜进极宜收，稳守收官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摘要：进取至极、物极必反，适时收敛、稳中收官，不宜再进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进取极致、盛极需转的收尾阶段，当前事态推进已抵达阶段性顶点，长期的进取开拓、发力突破已走到临界平衡点，继续向前拓进、叠加增量，只会违背物极必反的发展规律，非但难以增益成效，反而容易滋生损耗、反转与隐患。现阶段局势的核心特质是宜止不宜进、宜守不宜拓，所有进取空间基本耗尽，红利趋于见顶，再强行冲刺、刻意突破，极易出现盛极而衰、功成反损的反向走势。成事关键不再于开拓增量、持续进阶，而在于及时收手、适度收敛，稳住现有成果、规整收尾细节。保持克制自持的心态，不再追逐新的突破、不贪额外增益，以平稳姿态守住盘面、完成收官，便可规避过进反噬、激进致损的风险，守住已有成果。该事务局面下可重点规避两类负面心态，一是不知止进，沉溺持续进取的惯性，抵达顶点仍不甘收手，执意拓新强求；二是贪多不止，收获既定成效后仍执念叠加增量，过度进取导致优势透支、事态反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前岗位进阶、工作推进已达阶段上限，提升空间有限。切忌强行突破、贪求更多成绩，需及时收敛进取心态，踏实稳住本职成果，精细做好收尾工作，守成避险、安稳落地。拥有相对自主权，有一定统筹资源能力、具备主导条件的人，全局布局与阶段性拓展已抵达峰值，增量红利消退、进取空间封顶。切忌逆势拓局、持续扩张，需主动收敛布局节奏，停止新增激进动作，聚焦稳固现有格局、稳妥收官闭环，规避物极必反的损耗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总起段：进极知止、稳守收官，则成果可守、无耗无失；进取不止、极致强求，则盛势反转、滋生弊端。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日至中天、极盛需收：日行正午、抵达极盛顶点，光亮势能已然满格，再无上升空间，持续强求盛放只会逐步衰败，适时收敛沉降、静待稳转，方能守住全日光影成效。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帆至满风、宜止稳航：船帆迎风已满、势能用尽，极致发力易失稳偏航，唯有及时收帆、放缓进速，稳守航向、安静收官，方能平稳渡航、保全成果。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整体觉察思路：以日至中天宜收敛、帆满风足稳收官的通俗物象为警示参照，此阶段核心在于</w:t>
      </w:r>
      <w:r>
        <w:rPr>
          <w:rFonts w:eastAsia="等线" w:ascii="Arial" w:cs="Arial" w:hAnsi="Arial"/>
          <w:b w:val="true"/>
          <w:sz w:val="22"/>
        </w:rPr>
        <w:t>知止收手、适时收敛、稳中收官</w:t>
      </w:r>
      <w:r>
        <w:rPr>
          <w:rFonts w:eastAsia="等线" w:ascii="Arial" w:cs="Arial" w:hAnsi="Arial"/>
          <w:sz w:val="22"/>
        </w:rPr>
        <w:t>。规避进取不止、贪多强求的不良心态，明晰进极必转、知止方无败的客观规律。坦然接纳这件事务进取至极、不宜再进的阶段现状，彻底收敛拓进执念，摒弃过度进取的惯性，以稳守替代强攻、以收官替代拓新，牢牢守住已有成果，规避物极必反的反噬隐患，实现安稳收尾、圆满守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906">
    <w:lvl>
      <w:start w:val="1"/>
      <w:numFmt w:val="decimal"/>
      <w:suff w:val="tab"/>
      <w:lvlText w:val="%1."/>
      <w:rPr>
        <w:color w:val="3370ff"/>
      </w:rPr>
    </w:lvl>
  </w:abstractNum>
  <w:abstractNum w:abstractNumId="5790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7906"/>
  </w:num>
  <w:num w:numId="2">
    <w:abstractNumId w:val="579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2026-08-07T14:43:40Z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{"Label":"1","ContentProducer":"001191110102MACQD9K64010000","ProduceID":"7671300361421376478","ReservedCode1":"","ContentPropagator":"","PropagateID":"","ReservedCode2":""}</vt:lpwstr>
  </property>
</Properties>
</file>