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00214｜深入境遇，明察应对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摘要：深入复杂境遇，洞察内情、明晰利弊，知己知彼、从容应对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局势复杂、内情交错的沉淀阶段，当下事态表面趋于沉寂平稳，实则内部脉络繁杂、利弊交织，各类隐性问题、深层纠葛、潜在利弊藏匿于表象之下，并非直观可见、轻易可判。现阶段并不适合贸然行动、仓促发力，盲目推进极易因认知片面、判断偏差出现失误，陷入被动局面。成事关键不在于快速突破、强行推进，而在于沉心深入境遇、通透洞察内情。耐心梳理事态底层逻辑，分辨各方利弊、看清局势虚实，做到知己知彼、心中有数。待全貌清晰、利弊明晰之后，再从容出手、稳妥应对，便能精准规避隐性风险、避开认知盲区，稳妥把控事态走向。该事务局面下可重点规避两类负面心态，一是浅尝辄止，不愿深入拆解复杂局势，仅凭表象主观判断、草率行动；二是急躁应对，尚未摸清内情便急于施策推进，判断片面、举措失当，徒增变数与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工作事务暗藏复杂细节，表象平顺但内里多有牵扯。切忌凭经验草率处理、跟风应对，需沉心梳理工作脉络，摸清流程内情、明晰利弊关键，精准落地执行，从容应对复杂工况。拥有相对自主权，有一定统筹资源能力、具备主导条件的人，当下全局局势错综复杂，隐性因素、人际纠葛叠加交织。切忌盲目布局、仓促决策，需深度调研研判、洞察深层内情，权衡利弊得失，做到知己知彼、审慎统筹，从容把控全局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总起段：深察内情、明辨利弊，则应对有度、处事从容；浮于表象、草率妄动，则局势迷离、举措多失。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深潭静水、内藏脉络：静水湖面看似平静无波，实则水下脉络交错、深浅难辨，暗藏暗流与层级结构，唯有俯身深察、看清虚实，方能稳妥涉足、从容进退。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繁枝交错、细辨方明：林木枝蔓交错、层次繁杂，外观纷乱无章，静心梳理、逐条分辨，便可理清枝干脉络、明晰主次轻重，摆脱迷茫困惑、从容处置。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整体觉察思路：以深潭静水需细察、繁枝交错宜慎辨的通俗物象为正向参照，此阶段核心在于</w:t>
      </w:r>
      <w:r>
        <w:rPr>
          <w:rFonts w:eastAsia="等线" w:ascii="Arial" w:cs="Arial" w:hAnsi="Arial"/>
          <w:b w:val="true"/>
          <w:sz w:val="22"/>
        </w:rPr>
        <w:t>洞察内情、明辨利弊、从容应对</w:t>
      </w:r>
      <w:r>
        <w:rPr>
          <w:rFonts w:eastAsia="等线" w:ascii="Arial" w:cs="Arial" w:hAnsi="Arial"/>
          <w:sz w:val="22"/>
        </w:rPr>
        <w:t>。规避表象判断、草率施策的不良心态，明晰察清局势方可从容处事、知己知彼方能无失的客观规律。坦然接纳这件事务境遇复杂、内情深藏的阶段现状，摒弃浮躁草率的处事方式，沉心深耕局势、细辨利弊虚实，以通透认知支撑从容应对，精准把控事态发展、规避未知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4292">
    <w:lvl>
      <w:start w:val="1"/>
      <w:numFmt w:val="decimal"/>
      <w:suff w:val="tab"/>
      <w:lvlText w:val="%1."/>
      <w:rPr>
        <w:color w:val="3370ff"/>
      </w:rPr>
    </w:lvl>
  </w:abstractNum>
  <w:abstractNum w:abstractNumId="24429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4292"/>
  </w:num>
  <w:num w:numId="2">
    <w:abstractNumId w:val="2442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2026-08-07T14:46:46Z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{"Label":"1","ContentProducer":"001191110102MACQD9K64010000","ProduceID":"7671301104093760473","ReservedCode1":"","ContentPropagator":"","PropagateID":"","ReservedCode2":""}</vt:lpwstr>
  </property>
</Properties>
</file>