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00223｜初睽存隙，释怀化争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摘要：人际隔阂、意见分歧之初，主动释怀、摒弃怨隙，化解矛盾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中，处于分歧初起、隔阂初生的细微疏离阶段，当下人际相处、团队协作或事务对接中，初见认知差异、意见相悖、立场不同的离散态势。此类矛盾并非深层对立、恶意冲突，只是初期观念不合、细碎误会与认知偏差，属于浅层隙碍、尚未固化的短暂疏离，隔阂尚浅、回旋余地极大。此刻最忌较真辩争、执念对错、耿耿怨隙，一旦刻意较真、反复拉扯辩驳，只会放大细微分歧、加深人际隔阂，让小事演化成固化矛盾、浅层疏离转为长久对立。现阶段破局关键不在于争输赢、辩对错，而在于主动释怀、放下执念、摒弃私怨。不纠结细碎分歧、不纠结一时口舌得失，以包容心态接纳认知差异，主动弱化对立姿态、消解怨隙隔阂，顺势温和化解初生矛盾，避免事态升级、关系疏离。该事务局面下可重点规避两类负面心态，一是较真执拗，执着对错输赢、不肯包容差异，反复争辩拉扯，放大细微分歧；二是心存怨隙，因短暂不合心生芥蒂、暗自介怀，累积情绪隔阂，埋下后续对立隐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岗位协作、人际对接初见观点分歧、细微疏离。切忌较真辩驳、置气内耗，需包容差异、放下细碎怨隙，温和对接、顺势化解误会，维系和睦协作氛围，避免小隙拖成大矛盾。拥有相对自主权，有一定统筹资源能力、具备主导条件的人，当下团队统筹、人际格局出现观念分歧、认知偏差，对立苗头初显。切忌强势纠偏、硬性争辩，需放宽包容心态，主动释怀人际间隙，柔性调和各方意见，消弭初生矛盾，稳住整体同心态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总起段：初隙释怀、包容息争，则隔阂自消、人事归和；较真执怨、强行辩争，则微隙渐大、疏离加深。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微尘初起、轻拂即无：人际分歧如初起微尘，只是浅表细碎阻滞，未曾扎根固化，若即刻释怀放下、温柔梳理，便可不留痕迹、归于清净，执意较真拂扫反而扬尘扰境、加剧纷乱。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细纹初现、顺势弥合：器物初显细微纹路、裂隙尚浅，未及深层开裂，及时温和修补、顺势弥合即可完好如初，放任不顾、刻意较劲则裂隙延展、破损加重。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整体觉察思路：以微尘初起宜轻拂、细纹初现宜弥合的通俗物象为正向参照，此阶段核心在于</w:t>
      </w:r>
      <w:r>
        <w:rPr>
          <w:rFonts w:eastAsia="等线" w:ascii="Arial" w:cs="Arial" w:hAnsi="Arial"/>
          <w:b w:val="true"/>
          <w:sz w:val="22"/>
        </w:rPr>
        <w:t>释怀怨隙、包容差异、初争速化</w:t>
      </w:r>
      <w:r>
        <w:rPr>
          <w:rFonts w:eastAsia="等线" w:ascii="Arial" w:cs="Arial" w:hAnsi="Arial"/>
          <w:sz w:val="22"/>
        </w:rPr>
        <w:t>。规避较真执拗、存怨积隙的不良心态，明晰分歧初起易化解、执念计较易疏离的客观规律。坦然接纳这件事务人际有隙、意见不一的初期现状，放下对错执念与私人怨怼，以松弛包容的姿态主动调和、温和化解，杜绝小矛盾发酵、小隔阂固化，维系人事和顺、格局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4284882">
    <w:lvl>
      <w:start w:val="1"/>
      <w:numFmt w:val="decimal"/>
      <w:suff w:val="tab"/>
      <w:lvlText w:val="%1."/>
      <w:rPr>
        <w:color w:val="3370ff"/>
      </w:rPr>
    </w:lvl>
  </w:abstractNum>
  <w:abstractNum w:abstractNumId="4284883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4284882"/>
  </w:num>
  <w:num w:numId="2">
    <w:abstractNumId w:val="42848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2026-08-07T14:52:53Z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{"Label":"1","ContentProducer":"001191110102MACQD9K64010000","ProduceID":"7671302739108187117","ReservedCode1":"","ContentPropagator":"","PropagateID":"","ReservedCode2":""}</vt:lpwstr>
  </property>
</Properties>
</file>