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00224｜异存求同，主动相通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摘要：彼此差异、理念不同，异中求同、主动联结，终得相通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理念相异、认知有别的磨合阶段，当下人际相处、团队协作与事务对接中，双方立场、处事理念、思维模式存在天然差异，看待问题的角度、推进事务的节奏各不相同，容易形成表层疏离、沟通错位的睽隔态势。此种差异并非对立冲突、是非相悖，只是彼此路径、理念殊途的正常分歧，无本质矛盾与恶意隔阂，绝非不可调和的僵局。若执着自我认知、固守自身理念，一味放大彼此差异、拒绝兼容包容，会让疏离持续加深、沟通壁垒固化，导致协作卡顿、人事渐行渐远。现阶段成事核心，不在于强求理念统一、强行说服对方，而在于接纳差异、主动联结、异中求同。放下主观执念与认知偏见，尊重彼此的处事方式与思维差异，主动搭建沟通桥梁、柔性对接磨合，寻找双方共识与契合点，以包容之心化解睽隔、以主动联动消融疏离，循序渐进拉近彼此距离，最终实现理念相通、人事和合。该事务局面下可重点规避两类负面心态，一是固我排他，死守自身理念、拒绝接纳差异，不屑兼容变通、刻意对立割裂；二是被动疏离，因理念不同便消极回避、放弃沟通联结，任由隔阂持续留存、分歧不断固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对接、人际配合存在理念差异、处事分歧。切忌固执己见、被动疏离，需主动沟通适配、包容彼此不同，立足工作共识协同发力，弱化理念分歧、强化协作契合，稳步磨合出顺畅的合作节奏。拥有相对自主权，有一定统筹资源能力、具备主导条件的人，当下团队内部、合作格局存在认知偏差、理念差异，整体处于睽隔磨合状态。切忌强行统一理念、强势纠偏他人，需秉持求同存异的原则，主动联结各方、柔性统筹协调，挖掘共同目标与核心共识，兼容个体差异，最终实现全局相通、格局和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总起段：存异求同、主动联结，则睽隔渐消、终得相通；固执排他、消极疏离，则差异固化、人事难和。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分流殊途、终归汇流：支流路径各不相同、走向有别，看似彼此睽隔疏离，实则本源相通、目标相近，主动顺势接引、兼容包容，便可打破分流隔阂、最终汇流相融。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明暗参差、互通共生：光影明暗排布不同、形态有差异，无绝对对立冲突，彼此互补依存、各有适配所长，主动调和兼容、联结共生，便可消解参差睽隔、成就整体和合态势。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整体觉察思路：以殊途支流可汇流、明暗参差能共生的通俗物象为正向参照，此阶段核心在于</w:t>
      </w:r>
      <w:r>
        <w:rPr>
          <w:rFonts w:eastAsia="等线" w:ascii="Arial" w:cs="Arial" w:hAnsi="Arial"/>
          <w:b w:val="true"/>
          <w:sz w:val="22"/>
        </w:rPr>
        <w:t>接纳差异、主动联结、求同相通</w:t>
      </w:r>
      <w:r>
        <w:rPr>
          <w:rFonts w:eastAsia="等线" w:ascii="Arial" w:cs="Arial" w:hAnsi="Arial"/>
          <w:sz w:val="22"/>
        </w:rPr>
        <w:t>。规避固执排他、消极疏离的不良心态，明晰差异为常态、主动可通睽的客观规律。坦然接纳这件事务理念有别、彼此相异的阶段现状，放下自我执念与认知偏见，尊重人际与事务的多元差异，主动沟通磨合、寻觅共识，以柔性联结破除睽隔疏离，最终实现人事相通、协作顺遂、格局和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9504">
    <w:lvl>
      <w:start w:val="1"/>
      <w:numFmt w:val="decimal"/>
      <w:suff w:val="tab"/>
      <w:lvlText w:val="%1."/>
      <w:rPr>
        <w:color w:val="3370ff"/>
      </w:rPr>
    </w:lvl>
  </w:abstractNum>
  <w:abstractNum w:abstractNumId="16495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49504"/>
  </w:num>
  <w:num w:numId="2">
    <w:abstractNumId w:val="16495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2026-08-07T14:53:28Z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{"Label":"1","ContentProducer":"001191110102MACQD9K64010000","ProduceID":"7671302900375096301","ReservedCode1":"","ContentPropagator":"","PropagateID":"","ReservedCode2":""}</vt:lpwstr>
  </property>
</Properties>
</file>