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00229｜初蹇知退，待机俟助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摘要：初遇困境、前路受阻，不宜贸然进取，退守待机、静待助力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你可能在当前某件事务的推进过程中，正处于初遇险阻、前路受限的起步困顿阶段。事务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刚进入推进周期，就遭遇阻滞壁垒、前路闭塞、推进卡顿的情况，属于开局遇困、起步不顺的阶段性状态。这类困境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并非深层死局、无解难题，更多是初期环境适配不足、时机尚未成熟、外部条件暂不具足导致的浅层阻碍，具备后续松动、迎来转机的空间。当</w:t>
      </w:r>
      <w:r>
        <w:rPr>
          <w:rFonts w:eastAsia="等线" w:ascii="Arial" w:cs="Arial" w:hAnsi="Arial"/>
          <w:sz w:val="22"/>
        </w:rPr>
        <w:t>前事务中可能</w:t>
      </w:r>
      <w:r>
        <w:rPr>
          <w:rFonts w:eastAsia="等线" w:ascii="Arial" w:cs="Arial" w:hAnsi="Arial"/>
          <w:sz w:val="22"/>
        </w:rPr>
        <w:t>的避害关键，在于戒躁止进、切忌冒进。若是急于突破困境、贸然强行进取，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会碰壁受阻、徒增损耗，甚至加重阻滞局面、让小事演变为顽固困局。现阶段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更适合主动收势退守、稳住节奏，停止盲目攻坚与强行突破，沉心适配当下环境、稳住事务基底。以静制动、安守现状、耐心待机，不执着短期推进成效，静待时局松动、时机成熟，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可以等来外部助力、局势回暖，顺势突破初始困局、平稳向前。该事务局面下可重点规避两类负面心态，一是躁进求成，困境初现就急于破局、贸然发力，不懂止损退守，徒增内耗与阻滞；二是消极沉沦，因初始受阻心生颓丧、摆烂懈怠，放弃沉淀蓄力、错失待机翻盘的契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事务大概率初遇卡点、推进不顺。切忌逞强冒进、独自硬扛攻坚，需及时收手退守、稳住本职节奏，耐心等待团队配合、上级扶持等外部助力，大概率可以顺势破局、化解困顿。拥有相对自主权，有一定统筹资源能力、具备主导条件的人，当下全局布局大概率初遇阻碍、前路受限，开局推进阻力偏大。切忌激进施策、强行拓局，需收敛扩张动作、退守现有底盘，稳扎稳打蓄力沉淀，静待时局回暖、资源到位，大概率可以依托助力盘活全局、突破初始困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总起段：初蹇知退、静守待机，则时来助至、困局自通；躁进强行、不知止守，则阻滞加深、前路难行。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浅滩遇阻、暂缓行舟：行舟初入浅滩、水路阻滞，前路壅塞难进，强行撑船极易搁浅受损，暂缓前行、静守待机，待水势充盈、外力加持，便可顺势通航、畅行无碍。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小径逢障、驻足俟机：前路小径初遇阻隔、通行受限，无强行突破的条件，贸然前行易滋生波折，驻足稳守、静待时机，待障碍松动、机缘相合，自然可行路通顺、摆脱困滞。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整体觉察思路：以浅滩阻舟宜待机、小径逢障需驻足的通俗物象为正向参照，此阶段核心在于</w:t>
      </w:r>
      <w:r>
        <w:rPr>
          <w:rFonts w:eastAsia="等线" w:ascii="Arial" w:cs="Arial" w:hAnsi="Arial"/>
          <w:b w:val="true"/>
          <w:sz w:val="22"/>
        </w:rPr>
        <w:t>初困止进、退守固本、静待助力</w:t>
      </w:r>
      <w:r>
        <w:rPr>
          <w:rFonts w:eastAsia="等线" w:ascii="Arial" w:cs="Arial" w:hAnsi="Arial"/>
          <w:sz w:val="22"/>
        </w:rPr>
        <w:t>。规避躁进强行、消极懈怠的不良心态，明晰初蹇宜守不宜攻、待机方可得助力的客观规律。坦然接纳这件事务开局受阻、前路暂滞的阶段性现状，摒弃急于求成的执念，主动收敛进取姿态、沉心蓄力守局，耐心等候时机与外力加持，大概率可以平稳破除初始困境，迎来事态回暖、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79452">
    <w:lvl>
      <w:start w:val="1"/>
      <w:numFmt w:val="decimal"/>
      <w:suff w:val="tab"/>
      <w:lvlText w:val="%1."/>
      <w:rPr>
        <w:color w:val="3370ff"/>
      </w:rPr>
    </w:lvl>
  </w:abstractNum>
  <w:abstractNum w:abstractNumId="137945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79452"/>
  </w:num>
  <w:num w:numId="2">
    <w:abstractNumId w:val="13794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2026-08-07T23:52:27Z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{"Label":"1","ContentProducer":"001191110102MACQD9K64010000","ProduceID":"7671441693371255774","ReservedCode1":"","ContentPropagator":"","PropagateID":"","ReservedCode2":""}</vt:lpwstr>
  </property>
</Properties>
</file>