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00237｜戒浮守谦，务实立身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摘要：虚浮自大、负重失度，易招损耗，务实立身、谦逊行事方稳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你可能在当前某件事务的推进过程中，正处于困局初解、心态易浮的风险波动阶段。当下前期阻滞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逐步消解，局势迎来舒缓回暖的态势，心境可能随之出现松懈膨胀、认知错位的偏差，容易滋生虚浮自满、高估自我的心态。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会出现能力与所求不匹配、负重失度的状态，或是身居适配度不足的位置、承载超出自身能力的事务，行事张扬自大、疏于务实沉淀。这类状态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并非局势硬性危机，更多是困解之后心态失衡、行事失度引发的人为隐患，容易主动招致人际损耗、事务波折与资源流失。当前事务中可能的守稳关键，不在于急于扩张、刻意彰显自我，而在于戒除虚浮、务实立身。放下自大骄矜的心态，清晰认知自身能力边界，摒弃眼高手低、张扬冒进的行事方式，以谦逊姿态踏实履职、稳步行事，守住分寸与底线。收敛外在锋芒、深耕务实根基，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可以规避无谓损耗、化解自招的隐患波折，让事态发展持续安稳、不生起伏。该事务局面下可重点规避两类负面心态，一是虚浮自傲，困局消解后心生膨胀、盲目自大，高估自身能力、行事张扬轻率；二是负重失度，贪多求满、妄图承载超出自身承载力的事务，眼高手低、本末倒置，极易招致损耗与挫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事务压力可能有所缓解，容易滋生懈怠自满心态。切忌恃功自傲、行事虚浮，或是贪多冒进、超出能力范围做事，需安分守己、务实落地，谦逊配合协作、踏实打磨细节，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可以规避职场无谓损耗、稳住个人发展节奏。拥有相对自主权，有一定统筹资源能力、具备主导条件的人，当下全局困局初解、态势回暖，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容易出现格局自负、决策失度的问题。切忌张扬自满、盲目扩张布局，需清醒认知自身与局势短板，克制浮躁心态，以谦逊审慎的姿态统筹施策、务实稳局，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可以规避人为失误与格局损耗，守住来之不易的向好态势。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总起段：务实守谦、分寸有度，则立身安稳、无耗无虞；虚浮自大、负重失度，则自招波折、损耗难免。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轻载稳行、重载易倾：器物承载适配重量，稳步前行方能长久安稳，若贪心过载、负重失度，超出自身承载极限，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晃动倾颓、招致破损损耗，贴合立身行事需守分寸、忌贪满虚浮的道理。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虚华易散、笃实长存：浮华外物看似光鲜、实则无根，极易随风消散，唯有扎根务实、谦逊沉淀，夯实自身根基、守住行事本心，方能抵御波折、长久安稳。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整体觉察思路：以轻载稳行避倾覆、虚华不实难长存的通俗物象为正向参照，此阶段核心在于</w:t>
      </w:r>
      <w:r>
        <w:rPr>
          <w:rFonts w:eastAsia="等线" w:ascii="Arial" w:cs="Arial" w:hAnsi="Arial"/>
          <w:b w:val="true"/>
          <w:sz w:val="22"/>
        </w:rPr>
        <w:t>戒除虚浮、谦逊自持、务实立身、守度避险</w:t>
      </w:r>
      <w:r>
        <w:rPr>
          <w:rFonts w:eastAsia="等线" w:ascii="Arial" w:cs="Arial" w:hAnsi="Arial"/>
          <w:sz w:val="22"/>
        </w:rPr>
        <w:t>。规避自大张扬、负重失度的不良心态，明晰浮必招损、务实方稳的客观规律。坦然接纳这件事务困解回暖、心态易浮的阶段性现状，时刻警醒自我、收敛骄矜心气，守住行事分寸、深耕务实本心，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可以规避自我招致的隐患与损耗，维持事态平稳向好、立身安稳无虞。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07946">
    <w:lvl>
      <w:start w:val="1"/>
      <w:numFmt w:val="decimal"/>
      <w:suff w:val="tab"/>
      <w:lvlText w:val="%1."/>
      <w:rPr>
        <w:color w:val="3370ff"/>
      </w:rPr>
    </w:lvl>
  </w:abstractNum>
  <w:abstractNum w:abstractNumId="100794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07946"/>
  </w:num>
  <w:num w:numId="2">
    <w:abstractNumId w:val="10079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2026-08-07T23:57:12Z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{"Label":"1","ContentProducer":"001191110102MACQD9K64010000","ProduceID":"7671442776147610553","ReservedCode1":"","ContentPropagator":"","PropagateID":"","ReservedCode2":""}</vt:lpwstr>
  </property>
</Properties>
</file>