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00252｜贪极招损，知止守稳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摘要：贪求无度、妄求增益，不知收敛、心生贪念，终将得不偿失、招致损耗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益极生弊、过求招损的风险回落阶段。当下局势虽保有增益底色、具备向好基础，但事态已然抵达增益的临界顶点，不再适合持续索取、过度谋求利好。自身心境可能容易随顺遂态势滋生贪念，执念于持续增收、叠加获益，不懂知足收敛、不晓适可而止，执意妄求超额增益、过度索取回报。这类无度贪求的心态可能会打破局势平衡，原本正向的增益运势随之偏转，原本可稳妥留存的成果，可能会因过度强求、贪心不止出现流失损耗。过度追逐额外收益、盲目扩张诉求，不仅难以收获新增利好，反而可能折损已有成果、消耗自身积攒的根基，陷入得不偿失、因贪致亏的被动局面。当前事务中可能的守稳关键，不在于持续求益、贪心进取，而在于止贪知止、收敛心念。摒弃无度妄求的贪欲，克制过度索取的执念，正视事态增益上限、守住现有成果，不贪非分之利、不求超额之益，以知足收敛的姿态稳守现状，可能可以规避人为招致的损耗与波折，守住既有成效、安稳收场。该事务局面下可重点规避两类负面心态，一是贪念不止，获益之后不知收敛、贪心膨胀，持续妄求超额增益、过度索取回报；二是心存侥幸，认为多求多得、无上限增益，忽视物极必反的规律，执意冒进逐利，最终招致反噬损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事务的收益与成效可能趋于稳定、抵达阶段上限。切忌贪心不足、过度谋求额外回报，盲目争取多余权益、过度计较得失，需知足守成、踏实稳岗，收敛功利贪念，专注守住现有成果，可能可以规避人际损耗、得失反噬，维持职场安稳态势。拥有相对自主权，有一定统筹资源能力、具备主导条件的人，当下全局格局的增益态势可能抵达极点、趋于饱和。切忌过度拓局、贪求长效超额收益，盲目扩张布局、持续索取局势红利，需及时收手控势、收敛格局野心，规整统筹节奏、守住现有底盘，可能可以避免格局失衡、资源虚耗，杜绝得不偿失的亏损回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总起段：知止收敛、守成不贪，则增益可稳、无耗无失；贪求无度、妄进不止，则盈满招损、得失两空。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满器盈溢、过取皆失：盛水器皿蓄满清水后已然抵达容量上限，若依旧贪心加注、不停注水，不知停手收敛，多余水流尽数溢出，不仅无法新增蓄水，反而会连带原有存量一并流失，造成无端损耗、得不偿失。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熟果过采、枝木俱伤：果树果实成熟饱满，适度采摘即可收获稳妥成果，若贪求多采、过度摘取，连青涩果芽、细弱枝丫一并采摘，不仅新果难以成型，还可能损伤枝干生机，损耗果树根本、透支来年长势。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整体觉察思路：以满水溢损、熟果过采伤枝的具象自然物象为正向参照，此阶段核心在于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戒除贪念、知止收敛、不妄求益、规避损耗</w:t>
      </w:r>
      <w:r>
        <w:rPr>
          <w:rFonts w:eastAsia="等线" w:ascii="Arial" w:cs="Arial" w:hAnsi="Arial"/>
          <w:sz w:val="22"/>
        </w:rPr>
        <w:t>。规避贪心无度、侥幸过求的不良心态，明晰益极必损、过求必失的客观规律。坦然接纳这件事务增益饱和、宜守不宜贪的阶段性现状，主动收敛功利执念、停止超额妄求，知足守成、稳住当下成果，可能可以彻底规避无端损耗与局势反噬，守住已有增益、安稳稳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461">
    <w:lvl>
      <w:start w:val="1"/>
      <w:numFmt w:val="decimal"/>
      <w:suff w:val="tab"/>
      <w:lvlText w:val="%1."/>
      <w:rPr>
        <w:color w:val="3370ff"/>
      </w:rPr>
    </w:lvl>
  </w:abstractNum>
  <w:abstractNum w:abstractNumId="14546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5461"/>
  </w:num>
  <w:num w:numId="2">
    <w:abstractNumId w:val="1454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2026-08-08T00:09:12Z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{"Label":"1","ContentProducer":"001191110102MACQD9K64010000","ProduceID":"7671445911247965135","ReservedCode1":"","ContentPropagator":"","PropagateID":"","ReservedCode2":""}</vt:lpwstr>
  </property>
</Properties>
</file>