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00258｜弊尽归稳，静待守成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摘要：弊端尽除、局势归稳，静待沉淀、安心守成，无需急进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弊病肃清、局势回稳的收尾沉淀阶段。过往累积的各类问题、阻滞隐患，大概率已完成清理整改，事态整体脱离波动内耗的状态，逐步回归平稳有序的稳态。当下局势基底扎实、无明显弊端牵绊，暂时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不适合激进拓进、强行突破。若急于求成、盲目提速推进，可能会打破平稳节奏，滋生不必要的细碎波动与人为损耗。现阶段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更适</w:t>
      </w:r>
      <w:r>
        <w:rPr>
          <w:rFonts w:eastAsia="等线" w:ascii="Arial" w:cs="Arial" w:hAnsi="Arial"/>
          <w:sz w:val="22"/>
        </w:rPr>
        <w:t>合</w:t>
      </w:r>
      <w:r>
        <w:rPr>
          <w:rFonts w:eastAsia="等线" w:ascii="Arial" w:cs="Arial" w:hAnsi="Arial"/>
          <w:sz w:val="22"/>
        </w:rPr>
        <w:t>沉淀蓄力、安稳守成的节奏，无需刻意进取、加急发力。沉下心静待事态自然沉淀、规整收尾，守住现有安稳成果，稳步夯实事态基底，可能可以长久维系顺遂态势，为后续进阶筑牢根基。该局面需规避两类负面状态，一是急于突进、贪求新绩，局势初稳便盲目拓进，打乱稳态节奏；二是躁动松懈、无心守成，轻视沉淀阶段，放任成果松散、留存细微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手头工作大概率已扫清核心问题，整体节奏趋于安稳。切忌浮躁求进、盲目加码，需踏实守好本职成果，耐心沉淀工作细节，安稳收尾、稳步蓄力，可能可以稳固职场平稳态势、规避无端波动。拥有相对自主权，有一定统筹资源能力、具备主导条件的人，当下全局弊病基本肃清、格局回归稳定。切忌激进布局、急于拓局增收，需收敛进取节奏、安心守成固本，静待局势自然沉淀成型，规整全局细节，可能可以长久守住稳态成果、实现平稳精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总起段：弊尽静待、安稳守成，则态势恒稳、日积底蕴；躁进急为、不甘静守，则平局生波、徒增损耗。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风雨初歇、静养枝叶：疾风骤雨过后，花木枝叶的病害杂物尽数清理，长势回归平稳，无需刻意催生助长。静静静置涵养、自然沉淀修复，枝叶便可逐步夯实生机、稳固长势，持续繁茂向好。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浊水澄定、静归清宁：水体杂物尽数沉淀、污浊尽数褪去，水质回归清澈安稳，无需频繁搅动、强行改动。静置守静、保持原状稳态，水流便可持续清宁、长久无扰。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整体觉察思路：以雨后花木静养、浊水自澄归清的具象自然物象为正向参照，此阶段核心在于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弊端尽除、局势归稳、静待沉淀、安心守成、摒弃急进</w:t>
      </w:r>
      <w:r>
        <w:rPr>
          <w:rFonts w:eastAsia="等线" w:ascii="Arial" w:cs="Arial" w:hAnsi="Arial"/>
          <w:sz w:val="22"/>
        </w:rPr>
        <w:t>。规避躁进妄为、静守不牢的不良心态，明晰局稳宜守、静待方盛的客观规律。坦然接纳当下事务弊尽归稳、适合沉淀守成的现状，收敛躁动心态、放弃急进执念，安稳守住现有成果，耐心静待事态沉淀蓄力，可能可以长久维系局势顺遂、稳步积淀长效底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5699">
    <w:lvl>
      <w:start w:val="1"/>
      <w:numFmt w:val="decimal"/>
      <w:suff w:val="tab"/>
      <w:lvlText w:val="%1."/>
      <w:rPr>
        <w:color w:val="3370ff"/>
      </w:rPr>
    </w:lvl>
  </w:abstractNum>
  <w:abstractNum w:abstractNumId="140570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05699"/>
  </w:num>
  <w:num w:numId="2">
    <w:abstractNumId w:val="14057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2026-08-08T00:17:40Z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{"Label":"1","ContentProducer":"001191110102MACQD9K64010000","ProduceID":"7671448214138801139","ReservedCode1":"","ContentPropagator":"","PropagateID":"","ReservedCode2":""}</vt:lpwstr>
  </property>
</Properties>
</file>