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00301｜临变守心，稳应波动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摘要：突发变故、局势波动，从容自持、沉稳应对，慌乱必生失误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突发异动来袭、局势短暂波动的临机应对阶段。该事务原本平稳推进的节奏，会被突如其来的变故短暂打破，外界出现瞬时扰动、节奏起伏、变数新增，整体态势进入临时震荡状态。这类突发波动多为阶段性警醒式变动，不属于颠覆性危机，不会彻底推翻原有格局与核心方向，更多是考验临场心态、处事定力与应急能力。事态本身的波动幅度有限，但人心的慌乱失控，是此阶段最大的风险源头，心态一旦浮躁失稳、动作仓促变形，极易衍生判断偏差、操作失误、决策疏漏等人为问题，让小事放大、小波折演变为实质阻碍。可能现阶段不太适合慌张应对、仓促处置异动、盲目加急推进，慌乱的状态大概率滋生各类失误、拖累整体进度。可能现阶段更适合收敛浮躁心绪、稳住自身定力，保持从容自持的处事姿态，冷静观察变故走势、沉稳梳理问题脉络，循序渐进、分步有序应对波动。以静制动、以稳克乱，不急于下定论、不仓促做决策，稳稳把控处事节奏，可能可以有效规避人为失误、化解局势扰动，平稳度过波动窗口期，让事态逐步回归正轨。该局面需规避两类负面状态，一是遇变慌乱、举止失序，心态失守、仓促应对，放大局势波折、制造多余失误；二是轻视异动、懈怠应对，抱有侥幸心理敷衍处置，放任小幅波动持续蔓延、叠加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容易遭遇临时突发变动，日常工作节奏被打乱，出现细碎波动与临时难题。可能现阶段切忌心态慌乱、手忙脚乱，需快速平复躁动情绪，沉下心梳理工作细节、理清处置思路，沉稳对接突发事务、有序落地各项处置动作，稳定自身履职节奏，可能可以精准规避操作失误、平稳度过职场波动阶段。拥有相对自主权，有一定统筹资源能力、具备主导条件的人，现阶段全局局势容易出现临时异动，整体推进节奏受外界扰动产生小幅震荡。可能现阶段切忌仓促施策、慌乱调整布局，需稳住全局心态、冷静研判变故根源，从容审视局势利弊，稳妥统筹应对方案，精准处理波动问题，可能可以规避决策失误、稳稳守住整体发展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总起段：临变沉稳、从容自持，则波动可平、诸事无失；心神慌乱、举止失度，则异动放大、失误丛生。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惊雷初震、静守本心：惊雷初起、骤然发声，打破原有静谧格局，带来瞬时局势震动。心神慌乱则步履错乱、判断失准，容易滋生纰漏；沉稳自持、静心观变，不惊不躁、稳守本心姿态，不被瞬时动静裹挟节奏，可能可以安然度过震荡时刻，静待时局归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骤风初起、稳身待宁：疾风骤然来袭、态势突发变动，周遭环境瞬时起伏、节奏紊乱。心态浮躁则身形飘摇、动作失度，极易出现各类差错；敛心稳气、立身端正，以从容姿态接纳突发波动，稳步适配局势变化，可能可以安稳度过风波、静待态势安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整体觉察思路：以惊雷初震静守本心、骤风初起稳身待宁的具象自然物象为正向参照，此阶段核心在于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接纳事务突发变故、局势临时波动的现状，戒除慌乱躁动的心态，保持从容自持、沉稳应对，以稳定节奏处置异动，规避人为失误，平稳稳住事态走向</w:t>
      </w:r>
      <w:r>
        <w:rPr>
          <w:rFonts w:eastAsia="等线" w:ascii="Arial" w:cs="Arial" w:hAnsi="Arial"/>
          <w:sz w:val="22"/>
        </w:rPr>
        <w:t>。规避遇变失措、轻视异动的不良心态，明晰临变宜稳、慌乱必失的客观规律。坦然接纳当下短暂波动、临机应变的特殊阶段，静心守心、从容处变，可能可以逐步平复局势震荡，收获安稳顺遂的事态走势。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7375">
    <w:lvl>
      <w:start w:val="1"/>
      <w:numFmt w:val="decimal"/>
      <w:suff w:val="tab"/>
      <w:lvlText w:val="%1."/>
      <w:rPr>
        <w:color w:val="3370ff"/>
      </w:rPr>
    </w:lvl>
  </w:abstractNum>
  <w:abstractNum w:abstractNumId="53737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37375"/>
  </w:num>
  <w:num w:numId="2">
    <w:abstractNumId w:val="5373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2026-08-08T07:50:02Z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{"Label":"1","ContentProducer":"001191110102MACQD9K64010000","ProduceID":"7671564895925603285","ReservedCode1":"","ContentPropagator":"","PropagateID":"","ReservedCode2":""}</vt:lpwstr>
  </property>
</Properties>
</file>