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00322｜时机未熟、待时稳进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时机未熟不可仓促达成合作 / 共处，延后筹备、完善条件，待局势适配再稳步推进。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看似有机遇、实则筹备不足、时机尚未成熟的蓄力缓冲阶段。此事务外部氛围利好，存在快速落地、敲定合作与共处关系的契机，整体节奏偏向快速促成结果，看似具备落地推进的基础条件。自身拥有积极筹备、主动对接推进的意识，愿意为事务落地提前布局、付出准备，是当下阶段的核心优势。最核心的心态误区是容易被外界节奏裹挟，滋生急于落地、速成收尾的浮躁心态，忽视自身储备不足、局势适配度欠缺的客观短板。若延续此种心态，可能容易出现衔接漏洞、适配断层的问题，或将引发后续返工调整、磨合矛盾增多，造成精力损耗与进度反复。正向解法是主动放缓推进节奏，延后仓促落地的计划，静心补齐筹备短板、完善自身条件，等待局势与能力双向适配后再稳步发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迫于进度压力与他人催促，仓促配合敲定合作、达成共处共识，忽视自身准备不足、适配度欠缺的问题，后续大概率容易陷入被动承压、疲于补漏的局面，应当稳住配合节奏，如实梳理自身短板，优先补齐筹备细节，不勉强适配不成熟的局势；拥有相对自主权，有一定统筹资源能力、具备主导条件的人，可能容易急于推进项目落地、敲定合作结果，盲目追赶进度、忽略全局隐患，仓促决策容易埋下长线隐患，应当主动把控推进节奏，审慎研判局势成熟度，主动延后不成熟的计划，以完善条件为先，稳步布局长远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待时修备，则条件充盈、落地安稳；仓促冒进，则基底不足、推进受阻。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青果未熟</w:t>
      </w:r>
      <w:r>
        <w:rPr>
          <w:rFonts w:eastAsia="等线" w:ascii="Arial" w:cs="Arial" w:hAnsi="Arial"/>
          <w:sz w:val="22"/>
        </w:rPr>
        <w:t>：枝头果实外形初具雏形，但养分尚未充盈、质地青涩生硬，是自然常见生长状态，此时强行采摘无法收获成熟果实，对应事务看似可期、实则积淀不足，不宜仓促落地。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新土未固</w:t>
      </w:r>
      <w:r>
        <w:rPr>
          <w:rFonts w:eastAsia="等线" w:ascii="Arial" w:cs="Arial" w:hAnsi="Arial"/>
          <w:sz w:val="22"/>
        </w:rPr>
        <w:t>：新翻松土质地松散、结构不稳，尚未沉降夯实，不具备承载重物的条件，喻指当下合作与共处基础薄弱、条件不齐，需要静心打磨筹备，待根基稳固方可稳步推进。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待机修备</w:t>
      </w:r>
      <w:r>
        <w:rPr>
          <w:rFonts w:eastAsia="等线" w:ascii="Arial" w:cs="Arial" w:hAnsi="Arial"/>
          <w:sz w:val="22"/>
        </w:rPr>
        <w:t>。需要戒除浮躁求快、勉强成事的负面心态，明白任何事务推进都有自然节奏，时机未至的仓促行动只会徒增损耗。为人处事应当摒弃速成执念，不被外界催促节奏干扰，主动沉心完善条件、补齐短板，坚持时机成熟、局势适配再稳步推进，规避冒进隐患，保障事务落地长效安稳、有所积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5488">
    <w:lvl>
      <w:start w:val="1"/>
      <w:numFmt w:val="decimal"/>
      <w:suff w:val="tab"/>
      <w:lvlText w:val="%1."/>
      <w:rPr>
        <w:color w:val="3370ff"/>
      </w:rPr>
    </w:lvl>
  </w:abstractNum>
  <w:abstractNum w:abstractNumId="210548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105488"/>
  </w:num>
  <w:num w:numId="2">
    <w:abstractNumId w:val="21054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2026-08-08T10:19:31Z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{"Label":"1","ContentProducer":"001191110102MACQD9K64010000","ProduceID":"7671603420856044519","ReservedCode1":"","ContentPropagator":"","PropagateID":"","ReservedCode2":""}</vt:lpwstr>
  </property>
</Properties>
</file>