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00325｜初丰渐起、潜修固本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事业机遇初显、局面渐丰，根基尚薄不可张扬，踏实深耕稳固初期成果。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机遇初显、局面初步丰盈的上升起步阶段。此事务整体走势向好，外部利好资源、发展契机逐步显现，整体格局呈现开阔丰盈的态势，具备稳步积累、进阶突破的良好基础。自身具备敏锐的感知力与主动进取的意识，能够及时捕捉正向机遇、顺势推进事务落地，善于把握上升窗口期积累成果，是当下阶段的核心优势。最核心的心态误区是容易因初见成效滋生浮躁心态，急于展露成果、高调张扬行事，盲目放大当下收益，忽视自身积累浅薄、根基尚未夯实的客观现状。若延续此种心态，可能容易出现根基悬浮、成果不稳的状况，或将引发局势回落、机遇流失，难以守住来之不易的初期优势。正向解法是收敛锋芒、戒除张扬执念，沉心深耕细节、打磨自身能力，以低调务实的节奏筑牢根基，稳步稳固初期发展成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初见起色、收获初步机遇后心生自满，急于表现自身成果、对外张扬成绩，忽视能力积淀与经验积累的重要性，浮躁心态容易打乱成长节奏、错失稳步精进的机会，应当保持谦卑务实的姿态，专注打磨本职能力、沉淀经验，默默深耕蓄力，稳稳守住初期机遇带来的成长红利；拥有相对自主权，有一定统筹资源能力、具备主导条件的人，可能容易因局面初步向好就急于扩张布局、放大声势，轻视基础建设与细节深耕，容易出现承载力不足、后续发力匮乏的隐患，应当克制冒进张扬的心态，放缓拓局节奏，聚焦现有成果打磨夯实，扎实筑牢事务根基，为长期稳步发展铺垫扎实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潜修深耕，则根基渐固、长势绵长；张扬冒进，则基底虚空、所得难存。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春芽初绽</w:t>
      </w:r>
      <w:r>
        <w:rPr>
          <w:rFonts w:eastAsia="等线" w:ascii="Arial" w:cs="Arial" w:hAnsi="Arial"/>
          <w:sz w:val="22"/>
        </w:rPr>
        <w:t>：春日草木新芽萌发、初见生机，是自然常见实景，长势向好却根茎稚嫩、扎根未深，经不起风雨扰动，对应当下事务机遇初显、局面向好，但整体根基薄弱，不宜张扬冒进。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浅池初盈</w:t>
      </w:r>
      <w:r>
        <w:rPr>
          <w:rFonts w:eastAsia="等线" w:ascii="Arial" w:cs="Arial" w:hAnsi="Arial"/>
          <w:sz w:val="22"/>
        </w:rPr>
        <w:t>：浅池因活水汇入初见充盈态势，水面澄澈灵动，但蓄水浅薄、存量有限，难以长久稳固，喻指当下成果仅为初期积累，底蕴尚且不足，唯有静心深耕、持续蓄力，方能稳固所得、长效发展。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潜修固本</w:t>
      </w:r>
      <w:r>
        <w:rPr>
          <w:rFonts w:eastAsia="等线" w:ascii="Arial" w:cs="Arial" w:hAnsi="Arial"/>
          <w:sz w:val="22"/>
        </w:rPr>
        <w:t>。需要戒除浮躁张扬、急于求成的负面心态，明白初期丰盈的局势只是发展开端，并非稳固定局。为人处事应当秉持沉潜务实、低调深耕的原则，不被浅层成果迷惑心智，主动收敛锋芒、专注积淀成长，持续夯实自身能力与事务根基，稳步稳固初期收获，规避根基不稳带来的发展隐患，让向上向好的局势稳步延续、层层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1538">
    <w:lvl>
      <w:start w:val="1"/>
      <w:numFmt w:val="decimal"/>
      <w:suff w:val="tab"/>
      <w:lvlText w:val="%1."/>
      <w:rPr>
        <w:color w:val="3370ff"/>
      </w:rPr>
    </w:lvl>
  </w:abstractNum>
  <w:abstractNum w:abstractNumId="61153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11538"/>
  </w:num>
  <w:num w:numId="2">
    <w:abstractNumId w:val="6115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2026-08-08T09:59:35Z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{"Label":"1","ContentProducer":"001191110102MACQD9K64010000","ProduceID":"7671598266590661570","ReservedCode1":"","ContentPropagator":"","PropagateID":"","ReservedCode2":""}</vt:lpwstr>
  </property>
</Properties>
</file>