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00334｜异地取获、守远戒浮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异地谋求发展、小有收获，心念不定难以扎根，兼顾现实与长远，不贪短期浮利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异地谋事、小有收益但心念浮动、根基未固的进阶缓冲阶段。此事务依托外部异地环境推进，能够切实获取阶段性回报与浅层成果，拥有看得见的短期增益，整体推进并无硬性阻滞，具备持续深耕获利的基础条件。自身适配能力较强，能够快速适应异地环境规则，踏实落地做事、稳步赚取收益，善于把握外部机会获取即时成果，是当下阶段的核心优势。最核心的心态误区是身处旅居状态心神不稳，容易被短期浮利迷惑，执念眼前小额收获，心态摇摆不定、缺乏长期扎根的定力，难以沉下心布局长远。若延续此种心态，可能容易陷入逐利浮躁的循环，或将引发浅层收获难以沉淀、始终漂泊无根，无法形成稳固长效的事业根基。正向解法是平衡现实收益与长远布局，克制贪求短期浮利的心态，稳住心神深耕沉淀，兼顾当下与未来，逐步筑牢扎根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异地发展中满足于小幅收获，安于短期小额回报，不愿深耕沉淀、布局长远，心态飘忽不定难以扎根，容易错失长线成长机遇，应当稳住行事节奏，不被浅层利益裹挟，踏实积累能力与经验，兼顾当下履职与长远提升；拥有相对自主权，有一定统筹资源能力、具备主导条件的人，可能容易急于追逐短期效益，过度看重即时成果、频繁切换布局，缺少深耕扎根的耐心，导致局势始终悬浮、难以沉淀核心优势，应当收敛浮躁逐利心态，理性取舍短期浮利，统筹规划长远布局，稳步夯实异地发展的稳固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沉心谋远，则渐扎根基、所得长存；贪逐浮利，则心念飘摇、久居不定。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过客拾穗</w:t>
      </w:r>
      <w:r>
        <w:rPr>
          <w:rFonts w:eastAsia="等线" w:ascii="Arial" w:cs="Arial" w:hAnsi="Arial"/>
          <w:sz w:val="22"/>
        </w:rPr>
        <w:t>：行路旅人途经田间，随手拾取零星麦穗、小有收获，可获即时补给，却无固定居所、无心深耕耕作，对应此事务异地谋事小有收益，但当下收获浅薄、心神不定，难以长久扎根。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浅草附坡</w:t>
      </w:r>
      <w:r>
        <w:rPr>
          <w:rFonts w:eastAsia="等线" w:ascii="Arial" w:cs="Arial" w:hAnsi="Arial"/>
          <w:sz w:val="22"/>
        </w:rPr>
        <w:t>：坡面浅草能够汲取少量养分、维持生机，有即时所得，却扎根浅表、附着力弱，遇风雨便易飘摇移位，喻指贪恋短期浮利只会停于浅层，唯有静心深耕、立足长远，方能稳固所得、扎根立足。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戒浮谋远</w:t>
      </w:r>
      <w:r>
        <w:rPr>
          <w:rFonts w:eastAsia="等线" w:ascii="Arial" w:cs="Arial" w:hAnsi="Arial"/>
          <w:sz w:val="22"/>
        </w:rPr>
        <w:t>。需要戒除逐利浮躁、心念飘摇的负面心态，明白异地发展的小幅收获只是阶段性馈赠，并非稳固根基。为人处事应当明晰短期收益与长远布局的主次关系，不贪一时浮利、不困即时所得，稳住心神、踏实深耕，兼顾现实落地与长远规划，逐步沉淀核心实力，摆脱漂泊不定的状态，实现扎根稳进、长效发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19542">
    <w:lvl>
      <w:start w:val="1"/>
      <w:numFmt w:val="decimal"/>
      <w:suff w:val="tab"/>
      <w:lvlText w:val="%1."/>
      <w:rPr>
        <w:color w:val="3370ff"/>
      </w:rPr>
    </w:lvl>
  </w:abstractNum>
  <w:abstractNum w:abstractNumId="301954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019542"/>
  </w:num>
  <w:num w:numId="2">
    <w:abstractNumId w:val="30195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2026-08-08T10:05:32Z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{"Label":"1","ContentProducer":"001191110102MACQD9K64010000","ProduceID":"7671599804061092809","ReservedCode1":"","ContentPropagator":"","PropagateID":"","ReservedCode2":""}</vt:lpwstr>
  </property>
</Properties>
</file>