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00349｜疏涣防扩、温和预解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阻滞初现、局面松散，温和疏通细微隔阂，提前化解矛盾、防止事态扩散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隐患初显、格局松散、需提前疏解维稳的前置修复阶段。此事务整体局势尚未崩坏、无重度阻滞危机，只是细微裂隙与隐性阻滞初步显现，整体结构松散、凝聚力偏弱，若放任不管极易逐步发酵扩散，从小隐患演变为实质性矛盾。自身心性温和细腻、处事敏锐细致，善于察觉细微异动与隐性隔阂，懂得柔性处理问题、不喜强硬对峙，具备提前预判、及时修复的觉知力，是当下阶段的核心优势。最核心的心态误区是轻视细微隐患、抱有侥幸心态，认为小隔阂无伤大局，疏于及时疏通与修补，或是处事拖沓松弛、放任松散局面持续蔓延。若延续此种心态，可能容易让微小隐患持续发酵、层层扩散，或将引发人际隔阂加深、事务阻滞加剧，小事拖大、乱象蔓延，增加后续修复成本。正向解法是秉持前置预判思维，以温和姿态疏通细微人际隔阂，主动排查消解初期矛盾，提前止损控局，杜绝事态扩散蔓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忽视协作中的细微分歧，面对初期松散隔阂选择沉默回避，心存侥幸不愿主动疏通，任由小问题积累发酵，导致协作默契断裂、阻滞逐步显现，应当敏锐捕捉细微隐患，温和对接、主动疏通，提前化解微小矛盾，稳住协作节奏；拥有相对自主权，有一定统筹资源能力、具备主导条件的人，可能容易着眼整体大局、忽略细节裂隙，轻视初期松散乱象，疏于精细化维稳修复，导致局部隐患扩散至全局、影响整体格局，应当收敛粗放统筹心态，细化全局管控，温和疏通团队细微隔阂，提前消解潜在矛盾，守住整体局势安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预疏细隙，则隐患消融、局势安稳；放任微涣，则裂隙渐扩、阻滞滋生。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微风疏浪</w:t>
      </w:r>
      <w:r>
        <w:rPr>
          <w:rFonts w:eastAsia="等线" w:ascii="Arial" w:cs="Arial" w:hAnsi="Arial"/>
          <w:sz w:val="22"/>
        </w:rPr>
        <w:t>：清风轻拂水面、柔和缓释初起微浪，温柔梳理细碎波纹、抚平浅表动荡，不强行对抗、不激烈处置，对应此阶段温和疏通细微隔阂，柔性化解初期隐患。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补堤塞微</w:t>
      </w:r>
      <w:r>
        <w:rPr>
          <w:rFonts w:eastAsia="等线" w:ascii="Arial" w:cs="Arial" w:hAnsi="Arial"/>
          <w:sz w:val="22"/>
        </w:rPr>
        <w:t>：堤坝初现细小孔隙、隐患尚浅，及时填补封堵、止损于萌芽，杜绝渗水扩隙、溃堤蔓延，喻指提前排查细微矛盾，主动预解隐患、防止事态扩散。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预疏防涣</w:t>
      </w:r>
      <w:r>
        <w:rPr>
          <w:rFonts w:eastAsia="等线" w:ascii="Arial" w:cs="Arial" w:hAnsi="Arial"/>
          <w:sz w:val="22"/>
        </w:rPr>
        <w:t>。需要戒除侥幸放任、轻视微瑕的负面心态，明白格局崩坏皆始于细微松散，事态扩散皆源于初期懈怠。为人处事应当秉持审慎细致的态度，敏锐察觉局势松散与人际隔阂的初期征兆，坚持温和处事、柔性疏通，不忽视小事、不放任隐患，提前介入化解微小矛盾，从源头阻断问题扩散，稳固松散局面、长效规避阻滞危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29687">
    <w:lvl>
      <w:start w:val="1"/>
      <w:numFmt w:val="decimal"/>
      <w:suff w:val="tab"/>
      <w:lvlText w:val="%1."/>
      <w:rPr>
        <w:color w:val="3370ff"/>
      </w:rPr>
    </w:lvl>
  </w:abstractNum>
  <w:abstractNum w:abstractNumId="142968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429687"/>
  </w:num>
  <w:num w:numId="2">
    <w:abstractNumId w:val="142968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2026-08-08T10:17:51Z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{"Label":"1","ContentProducer":"001191110102MACQD9K64010000","ProduceID":"7671602944643976123","ReservedCode1":"","ContentPropagator":"","PropagateID":"","ReservedCode2":""}</vt:lpwstr>
  </property>
</Properties>
</file>