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Mar>
          <w:left w:w="0" w:type="dxa"/>
          <w:right w:w="0" w:type="dxa"/>
        </w:tblCellMar>
        <w:tblLook w:val="04A0" w:firstRow="1" w:lastRow="0" w:firstColumn="1" w:lastColumn="0" w:noHBand="0" w:noVBand="1"/>
      </w:tblPr>
      <w:tblGrid>
        <w:gridCol w:w="9000"/>
      </w:tblGrid>
      <w:tr w:rsidR="00D1237F" w:rsidTr="00D1237F">
        <w:trPr>
          <w:jc w:val="center"/>
        </w:trPr>
        <w:tc>
          <w:tcPr>
            <w:tcW w:w="0" w:type="auto"/>
            <w:vAlign w:val="center"/>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1500"/>
            </w:tblGrid>
            <w:tr w:rsidR="00D1237F">
              <w:tc>
                <w:tcPr>
                  <w:tcW w:w="0" w:type="auto"/>
                  <w:vAlign w:val="center"/>
                  <w:hideMark/>
                </w:tcPr>
                <w:p w:rsidR="00D1237F" w:rsidRDefault="00D1237F">
                  <w:pPr>
                    <w:rPr>
                      <w:rFonts w:ascii="Arial" w:hAnsi="Arial" w:cs="Arial"/>
                      <w:sz w:val="22"/>
                    </w:rPr>
                  </w:pPr>
                  <w:r>
                    <w:rPr>
                      <w:rFonts w:ascii="Arial" w:hAnsi="Arial" w:cs="Arial"/>
                      <w:noProof/>
                      <w:sz w:val="22"/>
                    </w:rPr>
                    <w:drawing>
                      <wp:inline distT="0" distB="0" distL="0" distR="0">
                        <wp:extent cx="952500" cy="952500"/>
                        <wp:effectExtent l="0" t="0" r="0" b="0"/>
                        <wp:docPr id="2" name="Picture 2" descr="Aust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tin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766755" w:rsidRDefault="00766755">
            <w:pPr>
              <w:pStyle w:val="NormalWeb"/>
              <w:spacing w:beforeAutospacing="0" w:afterAutospacing="0"/>
              <w:jc w:val="center"/>
              <w:rPr>
                <w:rFonts w:ascii="Arial" w:hAnsi="Arial" w:cs="Arial"/>
                <w:b/>
                <w:bCs/>
                <w:sz w:val="22"/>
                <w:szCs w:val="22"/>
              </w:rPr>
            </w:pPr>
            <w:r>
              <w:rPr>
                <w:rFonts w:ascii="Arial" w:hAnsi="Arial" w:cs="Arial"/>
                <w:b/>
                <w:bCs/>
                <w:sz w:val="22"/>
                <w:szCs w:val="22"/>
              </w:rPr>
              <w:t>* D R A F T *</w:t>
            </w:r>
          </w:p>
          <w:p w:rsidR="00D1237F" w:rsidRDefault="00D1237F">
            <w:pPr>
              <w:pStyle w:val="NormalWeb"/>
              <w:spacing w:beforeAutospacing="0" w:afterAutospacing="0"/>
              <w:jc w:val="center"/>
              <w:rPr>
                <w:rFonts w:ascii="Arial" w:hAnsi="Arial" w:cs="Arial"/>
                <w:b/>
                <w:bCs/>
                <w:sz w:val="22"/>
                <w:szCs w:val="22"/>
              </w:rPr>
            </w:pPr>
            <w:r>
              <w:rPr>
                <w:rFonts w:ascii="Arial" w:hAnsi="Arial" w:cs="Arial"/>
                <w:b/>
                <w:bCs/>
                <w:sz w:val="22"/>
                <w:szCs w:val="22"/>
              </w:rPr>
              <w:t>Enterprise Architecture Advisory Group Charter</w:t>
            </w:r>
          </w:p>
          <w:p w:rsidR="00D1237F" w:rsidRDefault="0086205C">
            <w:pPr>
              <w:pStyle w:val="NormalWeb"/>
              <w:spacing w:beforeAutospacing="0" w:afterAutospacing="0"/>
              <w:jc w:val="center"/>
              <w:rPr>
                <w:rFonts w:ascii="Arial" w:hAnsi="Arial" w:cs="Arial"/>
                <w:sz w:val="22"/>
                <w:szCs w:val="22"/>
              </w:rPr>
            </w:pPr>
            <w:r>
              <w:rPr>
                <w:rFonts w:ascii="Arial" w:hAnsi="Arial" w:cs="Arial"/>
                <w:sz w:val="22"/>
                <w:szCs w:val="22"/>
              </w:rPr>
              <w:t>Version 1.1, 06</w:t>
            </w:r>
            <w:r w:rsidR="00D1237F">
              <w:rPr>
                <w:rFonts w:ascii="Arial" w:hAnsi="Arial" w:cs="Arial"/>
                <w:sz w:val="22"/>
                <w:szCs w:val="22"/>
              </w:rPr>
              <w:t>/0</w:t>
            </w:r>
            <w:r>
              <w:rPr>
                <w:rFonts w:ascii="Arial" w:hAnsi="Arial" w:cs="Arial"/>
                <w:sz w:val="22"/>
                <w:szCs w:val="22"/>
              </w:rPr>
              <w:t>8</w:t>
            </w:r>
            <w:r w:rsidR="00D1237F">
              <w:rPr>
                <w:rFonts w:ascii="Arial" w:hAnsi="Arial" w:cs="Arial"/>
                <w:sz w:val="22"/>
                <w:szCs w:val="22"/>
              </w:rPr>
              <w:t>/2016</w:t>
            </w:r>
          </w:p>
          <w:p w:rsidR="00D1237F" w:rsidRDefault="00D1237F">
            <w:pPr>
              <w:pStyle w:val="NormalWeb"/>
              <w:spacing w:beforeAutospacing="0" w:afterAutospacing="0"/>
              <w:jc w:val="center"/>
              <w:rPr>
                <w:rFonts w:ascii="Arial" w:hAnsi="Arial" w:cs="Arial"/>
                <w:sz w:val="22"/>
                <w:szCs w:val="22"/>
              </w:rPr>
            </w:pPr>
          </w:p>
        </w:tc>
      </w:tr>
    </w:tbl>
    <w:p w:rsidR="00D1237F" w:rsidRDefault="00D1237F" w:rsidP="00D1237F">
      <w:pPr>
        <w:pStyle w:val="NormalWeb"/>
        <w:shd w:val="clear" w:color="auto" w:fill="FFFFFF"/>
        <w:spacing w:beforeAutospacing="0" w:afterAutospacing="0"/>
        <w:jc w:val="center"/>
        <w:rPr>
          <w:rFonts w:ascii="Arial" w:hAnsi="Arial" w:cs="Arial"/>
          <w:b/>
          <w:bCs/>
          <w:color w:val="000000"/>
          <w:sz w:val="22"/>
          <w:szCs w:val="22"/>
        </w:rPr>
      </w:pPr>
      <w:r>
        <w:rPr>
          <w:rFonts w:ascii="Arial" w:hAnsi="Arial" w:cs="Arial"/>
          <w:b/>
          <w:bCs/>
          <w:color w:val="000000"/>
          <w:sz w:val="22"/>
          <w:szCs w:val="22"/>
        </w:rPr>
        <w:t>Document Change History</w:t>
      </w:r>
    </w:p>
    <w:tbl>
      <w:tblPr>
        <w:tblW w:w="82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66"/>
        <w:gridCol w:w="1146"/>
        <w:gridCol w:w="6238"/>
      </w:tblGrid>
      <w:tr w:rsidR="003004DE" w:rsidTr="00D12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D1237F" w:rsidRDefault="00D1237F" w:rsidP="00D1237F">
            <w:pPr>
              <w:spacing w:after="0" w:line="240" w:lineRule="auto"/>
              <w:rPr>
                <w:rFonts w:ascii="Arial" w:hAnsi="Arial" w:cs="Arial"/>
                <w:b/>
                <w:bCs/>
                <w:color w:val="FFFFFF"/>
                <w:szCs w:val="20"/>
              </w:rPr>
            </w:pPr>
            <w:r>
              <w:rPr>
                <w:rFonts w:ascii="Arial" w:hAnsi="Arial" w:cs="Arial"/>
                <w:b/>
                <w:bCs/>
                <w:color w:val="FFFFFF"/>
                <w:szCs w:val="20"/>
              </w:rPr>
              <w:t>Version</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D1237F" w:rsidRDefault="00D1237F" w:rsidP="00D1237F">
            <w:pPr>
              <w:spacing w:after="0" w:line="240" w:lineRule="auto"/>
              <w:rPr>
                <w:rFonts w:ascii="Arial" w:hAnsi="Arial" w:cs="Arial"/>
                <w:b/>
                <w:bCs/>
                <w:color w:val="FFFFFF"/>
                <w:szCs w:val="20"/>
              </w:rPr>
            </w:pPr>
            <w:r>
              <w:rPr>
                <w:rFonts w:ascii="Arial" w:hAnsi="Arial" w:cs="Arial"/>
                <w:b/>
                <w:bCs/>
                <w:color w:val="FFFFFF"/>
                <w:szCs w:val="20"/>
              </w:rPr>
              <w:t>Release</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D1237F" w:rsidRDefault="00D1237F" w:rsidP="00D1237F">
            <w:pPr>
              <w:spacing w:after="0" w:line="240" w:lineRule="auto"/>
              <w:rPr>
                <w:rFonts w:ascii="Arial" w:hAnsi="Arial" w:cs="Arial"/>
                <w:b/>
                <w:bCs/>
                <w:color w:val="FFFFFF"/>
                <w:szCs w:val="20"/>
              </w:rPr>
            </w:pPr>
            <w:r>
              <w:rPr>
                <w:rFonts w:ascii="Arial" w:hAnsi="Arial" w:cs="Arial"/>
                <w:b/>
                <w:bCs/>
                <w:color w:val="FFFFFF"/>
                <w:szCs w:val="20"/>
              </w:rPr>
              <w:t>Change Summary</w:t>
            </w:r>
          </w:p>
        </w:tc>
      </w:tr>
      <w:tr w:rsidR="003004DE" w:rsidTr="00D12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1237F" w:rsidRDefault="00D1237F" w:rsidP="00D1237F">
            <w:pPr>
              <w:spacing w:after="0" w:line="240" w:lineRule="auto"/>
              <w:rPr>
                <w:rFonts w:ascii="Arial" w:hAnsi="Arial" w:cs="Arial"/>
                <w:szCs w:val="20"/>
              </w:rPr>
            </w:pPr>
            <w:r>
              <w:rPr>
                <w:rFonts w:ascii="Arial" w:hAnsi="Arial" w:cs="Arial"/>
                <w:szCs w:val="20"/>
              </w:rPr>
              <w:t>1.0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1237F" w:rsidRDefault="00D1237F" w:rsidP="00D1237F">
            <w:pPr>
              <w:spacing w:after="0" w:line="240" w:lineRule="auto"/>
              <w:rPr>
                <w:rFonts w:ascii="Arial" w:hAnsi="Arial" w:cs="Arial"/>
                <w:szCs w:val="20"/>
              </w:rPr>
            </w:pPr>
            <w:r>
              <w:rPr>
                <w:rFonts w:ascii="Arial" w:hAnsi="Arial" w:cs="Arial"/>
                <w:szCs w:val="20"/>
              </w:rPr>
              <w:t>05/03/2016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D1237F" w:rsidRDefault="00D1237F" w:rsidP="00D1237F">
            <w:pPr>
              <w:spacing w:after="0" w:line="240" w:lineRule="auto"/>
              <w:rPr>
                <w:rFonts w:ascii="Arial" w:hAnsi="Arial" w:cs="Arial"/>
                <w:szCs w:val="20"/>
              </w:rPr>
            </w:pPr>
            <w:r>
              <w:rPr>
                <w:rFonts w:ascii="Arial" w:hAnsi="Arial" w:cs="Arial"/>
                <w:szCs w:val="20"/>
              </w:rPr>
              <w:t>Initial Release</w:t>
            </w:r>
          </w:p>
        </w:tc>
      </w:tr>
      <w:tr w:rsidR="003004DE" w:rsidTr="00D12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tcPr>
          <w:p w:rsidR="003004DE" w:rsidRDefault="003004DE" w:rsidP="00D1237F">
            <w:pPr>
              <w:spacing w:after="0" w:line="240" w:lineRule="auto"/>
              <w:rPr>
                <w:rFonts w:ascii="Arial" w:hAnsi="Arial" w:cs="Arial"/>
                <w:szCs w:val="20"/>
              </w:rPr>
            </w:pPr>
            <w:r>
              <w:rPr>
                <w:rFonts w:ascii="Arial" w:hAnsi="Arial" w:cs="Arial"/>
                <w:szCs w:val="20"/>
              </w:rPr>
              <w:t>1.1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tcPr>
          <w:p w:rsidR="003004DE" w:rsidRDefault="003004DE" w:rsidP="00D1237F">
            <w:pPr>
              <w:spacing w:after="0" w:line="240" w:lineRule="auto"/>
              <w:rPr>
                <w:rFonts w:ascii="Arial" w:hAnsi="Arial" w:cs="Arial"/>
                <w:szCs w:val="20"/>
              </w:rPr>
            </w:pPr>
            <w:r>
              <w:rPr>
                <w:rFonts w:ascii="Arial" w:hAnsi="Arial" w:cs="Arial"/>
                <w:szCs w:val="20"/>
              </w:rPr>
              <w:t>06/08/2016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tcPr>
          <w:p w:rsidR="003004DE" w:rsidRDefault="003004DE" w:rsidP="00F050AC">
            <w:pPr>
              <w:spacing w:after="0" w:line="240" w:lineRule="auto"/>
              <w:rPr>
                <w:rFonts w:ascii="Arial" w:hAnsi="Arial" w:cs="Arial"/>
                <w:szCs w:val="20"/>
              </w:rPr>
            </w:pPr>
            <w:r>
              <w:rPr>
                <w:rFonts w:ascii="Arial" w:hAnsi="Arial" w:cs="Arial"/>
                <w:szCs w:val="20"/>
              </w:rPr>
              <w:t xml:space="preserve">Corrected minor rewording </w:t>
            </w:r>
            <w:r w:rsidR="00F050AC">
              <w:rPr>
                <w:rFonts w:ascii="Arial" w:hAnsi="Arial" w:cs="Arial"/>
                <w:szCs w:val="20"/>
              </w:rPr>
              <w:t>recommendations</w:t>
            </w:r>
            <w:r>
              <w:rPr>
                <w:rFonts w:ascii="Arial" w:hAnsi="Arial" w:cs="Arial"/>
                <w:szCs w:val="20"/>
              </w:rPr>
              <w:t xml:space="preserve"> by Greg Hand, DSD</w:t>
            </w:r>
          </w:p>
        </w:tc>
      </w:tr>
    </w:tbl>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Approvals</w:t>
      </w:r>
    </w:p>
    <w:p w:rsidR="00D1237F" w:rsidRDefault="00D1237F" w:rsidP="00D1237F">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TBD</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Purpose</w:t>
      </w:r>
    </w:p>
    <w:p w:rsidR="00D1237F" w:rsidRDefault="00D1237F" w:rsidP="00D1237F">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This charter establishes the City of Austin Enterprise Architecture Advisory Group (EAAG). The EAAG is a resource to help address, research, refine, and promote the use of an Enterprise Architecture as a strategic inf</w:t>
      </w:r>
      <w:bookmarkStart w:id="0" w:name="_GoBack"/>
      <w:bookmarkEnd w:id="0"/>
      <w:r>
        <w:rPr>
          <w:rFonts w:ascii="Arial" w:hAnsi="Arial" w:cs="Arial"/>
          <w:color w:val="000000"/>
          <w:sz w:val="22"/>
          <w:szCs w:val="22"/>
        </w:rPr>
        <w:t>ormation management practice throughout the City of Austin.</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Enterprise Architecture Definition</w:t>
      </w:r>
    </w:p>
    <w:p w:rsidR="00D1237F" w:rsidRDefault="00D1237F" w:rsidP="00D1237F">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Enterprise Architecture (EA) is the process of translating business vision and strategy into effective enterprise change</w:t>
      </w:r>
      <w:r w:rsidR="003D17DC">
        <w:rPr>
          <w:rFonts w:ascii="Arial" w:hAnsi="Arial" w:cs="Arial"/>
          <w:color w:val="000000"/>
          <w:sz w:val="22"/>
          <w:szCs w:val="22"/>
        </w:rPr>
        <w:t xml:space="preserve"> by creating, </w:t>
      </w:r>
      <w:r>
        <w:rPr>
          <w:rFonts w:ascii="Arial" w:hAnsi="Arial" w:cs="Arial"/>
          <w:color w:val="000000"/>
          <w:sz w:val="22"/>
          <w:szCs w:val="22"/>
        </w:rPr>
        <w:t xml:space="preserve">improving </w:t>
      </w:r>
      <w:r w:rsidR="003D17DC">
        <w:rPr>
          <w:rFonts w:ascii="Arial" w:hAnsi="Arial" w:cs="Arial"/>
          <w:color w:val="000000"/>
          <w:sz w:val="22"/>
          <w:szCs w:val="22"/>
        </w:rPr>
        <w:t xml:space="preserve">and </w:t>
      </w:r>
      <w:r w:rsidR="003D17DC">
        <w:rPr>
          <w:rFonts w:ascii="Arial" w:hAnsi="Arial" w:cs="Arial"/>
          <w:color w:val="000000"/>
          <w:sz w:val="22"/>
          <w:szCs w:val="22"/>
        </w:rPr>
        <w:t>communicating</w:t>
      </w:r>
      <w:r w:rsidR="003D17DC">
        <w:rPr>
          <w:rFonts w:ascii="Arial" w:hAnsi="Arial" w:cs="Arial"/>
          <w:color w:val="000000"/>
          <w:sz w:val="22"/>
          <w:szCs w:val="22"/>
        </w:rPr>
        <w:t xml:space="preserve"> </w:t>
      </w:r>
      <w:r>
        <w:rPr>
          <w:rFonts w:ascii="Arial" w:hAnsi="Arial" w:cs="Arial"/>
          <w:color w:val="000000"/>
          <w:sz w:val="22"/>
          <w:szCs w:val="22"/>
        </w:rPr>
        <w:t>the key requirements, principles, and models that describe the enterprise's future state and enable its evolution and transformation. This transformation process entails the analysis and design of an enterprise in its current and future states from a strategic, organizational, and technological perspective. The goals of EA are to improve the organizational efficiency, effectiveness, and agility by delivering business-aligned enterprise systems.</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Background and Authority</w:t>
      </w:r>
    </w:p>
    <w:p w:rsidR="00D1237F" w:rsidRDefault="00D1237F" w:rsidP="00D1237F">
      <w:pPr>
        <w:pStyle w:val="NormalWeb"/>
        <w:shd w:val="clear" w:color="auto" w:fill="FFFFFF"/>
        <w:spacing w:beforeAutospacing="0" w:afterAutospacing="0"/>
        <w:rPr>
          <w:rFonts w:ascii="Arial" w:hAnsi="Arial" w:cs="Arial"/>
          <w:color w:val="000000"/>
          <w:sz w:val="22"/>
          <w:szCs w:val="22"/>
        </w:rPr>
      </w:pPr>
      <w:r>
        <w:rPr>
          <w:rFonts w:ascii="Arial" w:hAnsi="Arial" w:cs="Arial"/>
          <w:color w:val="000000"/>
          <w:sz w:val="22"/>
          <w:szCs w:val="22"/>
        </w:rPr>
        <w:t xml:space="preserve">The Enterprise Architecture Advisory Group supports the City of Austin's IT improvement goals as well as implementing </w:t>
      </w:r>
      <w:r w:rsidR="003D17DC">
        <w:rPr>
          <w:rFonts w:ascii="Arial" w:hAnsi="Arial" w:cs="Arial"/>
          <w:color w:val="000000"/>
          <w:sz w:val="22"/>
          <w:szCs w:val="22"/>
        </w:rPr>
        <w:t xml:space="preserve">related </w:t>
      </w:r>
      <w:r>
        <w:rPr>
          <w:rFonts w:ascii="Arial" w:hAnsi="Arial" w:cs="Arial"/>
          <w:color w:val="000000"/>
          <w:sz w:val="22"/>
          <w:szCs w:val="22"/>
        </w:rPr>
        <w:t xml:space="preserve">regulations and guidance, including </w:t>
      </w:r>
      <w:r w:rsidR="003D17DC">
        <w:rPr>
          <w:rFonts w:ascii="Arial" w:hAnsi="Arial" w:cs="Arial"/>
          <w:color w:val="000000"/>
          <w:sz w:val="22"/>
          <w:szCs w:val="22"/>
        </w:rPr>
        <w:t>direction</w:t>
      </w:r>
      <w:r>
        <w:rPr>
          <w:rFonts w:ascii="Arial" w:hAnsi="Arial" w:cs="Arial"/>
          <w:color w:val="000000"/>
          <w:sz w:val="22"/>
          <w:szCs w:val="22"/>
        </w:rPr>
        <w:t xml:space="preserve"> from the CIO Council or other </w:t>
      </w:r>
      <w:r w:rsidR="00326C4D">
        <w:rPr>
          <w:rFonts w:ascii="Arial" w:hAnsi="Arial" w:cs="Arial"/>
          <w:color w:val="000000"/>
          <w:sz w:val="22"/>
          <w:szCs w:val="22"/>
        </w:rPr>
        <w:t>citywide</w:t>
      </w:r>
      <w:r>
        <w:rPr>
          <w:rFonts w:ascii="Arial" w:hAnsi="Arial" w:cs="Arial"/>
          <w:color w:val="000000"/>
          <w:sz w:val="22"/>
          <w:szCs w:val="22"/>
        </w:rPr>
        <w:t xml:space="preserve"> advisory bodies such as the Department Director Advisory Council (DDAC) and the IT Steering Committee (ITSC) when addressing Enterprise Architecture. The EA Advisory Group reports to the City of Austin </w:t>
      </w:r>
      <w:r w:rsidR="00326C4D">
        <w:rPr>
          <w:rFonts w:ascii="Arial" w:hAnsi="Arial" w:cs="Arial"/>
          <w:color w:val="000000"/>
          <w:sz w:val="22"/>
        </w:rPr>
        <w:t>Chief Information Officer (CIO)</w:t>
      </w:r>
      <w:r>
        <w:rPr>
          <w:rFonts w:ascii="Arial" w:hAnsi="Arial" w:cs="Arial"/>
          <w:color w:val="000000"/>
          <w:sz w:val="22"/>
          <w:szCs w:val="22"/>
        </w:rPr>
        <w:t>.</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The Enterprise Architecture Advisory Group Responsibilities</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Serve as technical counsel to the City of Au</w:t>
      </w:r>
      <w:r w:rsidR="00326C4D">
        <w:rPr>
          <w:rFonts w:ascii="Arial" w:hAnsi="Arial" w:cs="Arial"/>
          <w:color w:val="000000"/>
          <w:sz w:val="22"/>
        </w:rPr>
        <w:t xml:space="preserve">stin </w:t>
      </w:r>
      <w:r>
        <w:rPr>
          <w:rFonts w:ascii="Arial" w:hAnsi="Arial" w:cs="Arial"/>
          <w:color w:val="000000"/>
          <w:sz w:val="22"/>
        </w:rPr>
        <w:t>CIO and the CIO Council on the subject of Enterprise Architecture</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Make recommendations and provide advice to the CIO, the CIO Council, and other city-wide advisory bodies with respect to policy, guidance, standards, and procedures related to the maintenance and update of the Enterprise Architecture</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Promote a City of Austin Enterprise Architecture, encouraging common systems and shared resources, while recognizing the federation of architectures that comprises the enterprise</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Recommend IT technologies that serve as foundations for Department-wide systems</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Manage the acquisition and development of a unified EA management system tool and promote its use throughout the City</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Carry out tasks specifically assigned by the CIO, the CIO Council, or other government-wide advisory bodies</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lastRenderedPageBreak/>
        <w:t>Identify improved architectural practices and promote their adoption throughout the City</w:t>
      </w:r>
    </w:p>
    <w:p w:rsidR="00D1237F" w:rsidRDefault="00D1237F" w:rsidP="00D1237F">
      <w:pPr>
        <w:numPr>
          <w:ilvl w:val="0"/>
          <w:numId w:val="25"/>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Share experiences, ideas, and promising practices among Advisory Group members and the CIO community at large</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Membership</w:t>
      </w:r>
    </w:p>
    <w:p w:rsidR="00D1237F" w:rsidRDefault="00D1237F" w:rsidP="00D1237F">
      <w:pPr>
        <w:numPr>
          <w:ilvl w:val="0"/>
          <w:numId w:val="26"/>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Membership consist of representative(s) designated by the City of Austin CIO, operating unit CIOs, other IT managers and includes the City of Austin Chief Enterprise Architect and the Lead Architects from the operating units as designated by their respective operating unit leadership</w:t>
      </w:r>
    </w:p>
    <w:p w:rsidR="00D1237F" w:rsidRDefault="00D1237F" w:rsidP="00D1237F">
      <w:pPr>
        <w:numPr>
          <w:ilvl w:val="0"/>
          <w:numId w:val="26"/>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City of Austin Chief Enterprise Architect is the Chairperson</w:t>
      </w:r>
    </w:p>
    <w:p w:rsidR="00D1237F" w:rsidRDefault="00D1237F" w:rsidP="00D1237F">
      <w:pPr>
        <w:numPr>
          <w:ilvl w:val="0"/>
          <w:numId w:val="26"/>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Advisory Group may periodically invite other organizations to include support contractors to observe or contribute to meetings and activities</w:t>
      </w:r>
    </w:p>
    <w:p w:rsidR="00D1237F" w:rsidRDefault="00D1237F" w:rsidP="00D1237F">
      <w:pPr>
        <w:numPr>
          <w:ilvl w:val="0"/>
          <w:numId w:val="26"/>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One of the Advisory Group members acts as Secretariat or an agreed alternative Secretariat solution by the membership</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Procedures</w:t>
      </w:r>
    </w:p>
    <w:p w:rsidR="00D1237F" w:rsidRDefault="00D1237F" w:rsidP="00D1237F">
      <w:pPr>
        <w:numPr>
          <w:ilvl w:val="0"/>
          <w:numId w:val="27"/>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City of Austin EA Advisory Group meets every two weeks, or as needed and agreed to by the Group</w:t>
      </w:r>
    </w:p>
    <w:p w:rsidR="00D1237F" w:rsidRDefault="00D1237F" w:rsidP="00D1237F">
      <w:pPr>
        <w:numPr>
          <w:ilvl w:val="0"/>
          <w:numId w:val="27"/>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Group uses consensus decision-making, i.e., a decision that every Group member can accept and support - on Group decision; this becomes policy or procedure requiring another group consensus to change</w:t>
      </w:r>
    </w:p>
    <w:p w:rsidR="00D1237F" w:rsidRDefault="00D1237F" w:rsidP="00D1237F">
      <w:pPr>
        <w:numPr>
          <w:ilvl w:val="0"/>
          <w:numId w:val="27"/>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Advisory Group reports its recommendations to the City of Austin CIO</w:t>
      </w:r>
    </w:p>
    <w:p w:rsidR="00D1237F" w:rsidRDefault="00D1237F" w:rsidP="00D1237F">
      <w:pPr>
        <w:numPr>
          <w:ilvl w:val="0"/>
          <w:numId w:val="27"/>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Final approval for decisions and recommendations resides with the City of Austin CIO</w:t>
      </w:r>
    </w:p>
    <w:p w:rsidR="00D1237F" w:rsidRDefault="00D1237F" w:rsidP="00D1237F">
      <w:pPr>
        <w:pStyle w:val="NormalWeb"/>
        <w:shd w:val="clear" w:color="auto" w:fill="FFFFFF"/>
        <w:spacing w:beforeAutospacing="0" w:afterAutospacing="0"/>
        <w:rPr>
          <w:rFonts w:ascii="Arial" w:hAnsi="Arial" w:cs="Arial"/>
          <w:b/>
          <w:bCs/>
          <w:color w:val="000000"/>
          <w:sz w:val="22"/>
          <w:szCs w:val="22"/>
        </w:rPr>
      </w:pPr>
      <w:r>
        <w:rPr>
          <w:rFonts w:ascii="Arial" w:hAnsi="Arial" w:cs="Arial"/>
          <w:b/>
          <w:bCs/>
          <w:color w:val="000000"/>
          <w:sz w:val="22"/>
          <w:szCs w:val="22"/>
        </w:rPr>
        <w:t>Individual Responsibilities</w:t>
      </w:r>
    </w:p>
    <w:p w:rsidR="00D1237F" w:rsidRDefault="00D1237F" w:rsidP="00D1237F">
      <w:pPr>
        <w:numPr>
          <w:ilvl w:val="0"/>
          <w:numId w:val="28"/>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Chair develops the meeting agenda with assistance from members - sent to each member in advance of meetings</w:t>
      </w:r>
    </w:p>
    <w:p w:rsidR="00D1237F" w:rsidRDefault="00D1237F" w:rsidP="00D1237F">
      <w:pPr>
        <w:numPr>
          <w:ilvl w:val="0"/>
          <w:numId w:val="28"/>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principal responsibilities of the Chair include arranging meetings, organizing materials to facilitate recommendation making by the Advisory Group, conducting the meetings, and sharing information with Group members</w:t>
      </w:r>
    </w:p>
    <w:p w:rsidR="00D1237F" w:rsidRDefault="00D1237F" w:rsidP="00D1237F">
      <w:pPr>
        <w:numPr>
          <w:ilvl w:val="0"/>
          <w:numId w:val="28"/>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The Secretariat records and publishes meeting minutes, recommendations, and action items - distributed to all Group members</w:t>
      </w:r>
    </w:p>
    <w:p w:rsidR="00D1237F" w:rsidRDefault="00D1237F" w:rsidP="00D1237F">
      <w:pPr>
        <w:numPr>
          <w:ilvl w:val="0"/>
          <w:numId w:val="28"/>
        </w:numPr>
        <w:shd w:val="clear" w:color="auto" w:fill="FFFFFF"/>
        <w:spacing w:before="100" w:beforeAutospacing="1" w:after="100" w:afterAutospacing="1" w:line="240" w:lineRule="auto"/>
        <w:rPr>
          <w:rFonts w:ascii="Arial" w:hAnsi="Arial" w:cs="Arial"/>
          <w:color w:val="000000"/>
          <w:sz w:val="22"/>
        </w:rPr>
      </w:pPr>
      <w:r>
        <w:rPr>
          <w:rFonts w:ascii="Arial" w:hAnsi="Arial" w:cs="Arial"/>
          <w:color w:val="000000"/>
          <w:sz w:val="22"/>
        </w:rPr>
        <w:t>An Advisory Group member assigned by the Chair assumes the responsibilities of the Chair when the Chair is not available</w:t>
      </w:r>
    </w:p>
    <w:p w:rsidR="00610090" w:rsidRPr="00D1237F" w:rsidRDefault="00610090" w:rsidP="00D1237F"/>
    <w:sectPr w:rsidR="00610090" w:rsidRPr="00D123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258" w:rsidRDefault="00226258" w:rsidP="001B025C">
      <w:pPr>
        <w:spacing w:after="0" w:line="240" w:lineRule="auto"/>
      </w:pPr>
      <w:r>
        <w:separator/>
      </w:r>
    </w:p>
  </w:endnote>
  <w:endnote w:type="continuationSeparator" w:id="0">
    <w:p w:rsidR="00226258" w:rsidRDefault="00226258" w:rsidP="001B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440109"/>
      <w:docPartObj>
        <w:docPartGallery w:val="Page Numbers (Bottom of Page)"/>
        <w:docPartUnique/>
      </w:docPartObj>
    </w:sdtPr>
    <w:sdtEndPr>
      <w:rPr>
        <w:noProof/>
      </w:rPr>
    </w:sdtEndPr>
    <w:sdtContent>
      <w:p w:rsidR="001B025C" w:rsidRDefault="001B025C">
        <w:pPr>
          <w:pStyle w:val="Footer"/>
        </w:pPr>
        <w:r>
          <w:fldChar w:fldCharType="begin"/>
        </w:r>
        <w:r>
          <w:instrText xml:space="preserve"> PAGE   \* MERGEFORMAT </w:instrText>
        </w:r>
        <w:r>
          <w:fldChar w:fldCharType="separate"/>
        </w:r>
        <w:r w:rsidR="0086205C">
          <w:rPr>
            <w:noProof/>
          </w:rPr>
          <w:t>2</w:t>
        </w:r>
        <w:r>
          <w:rPr>
            <w:noProof/>
          </w:rPr>
          <w:fldChar w:fldCharType="end"/>
        </w:r>
      </w:p>
    </w:sdtContent>
  </w:sdt>
  <w:p w:rsidR="001B025C" w:rsidRDefault="001B02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258" w:rsidRDefault="00226258" w:rsidP="001B025C">
      <w:pPr>
        <w:spacing w:after="0" w:line="240" w:lineRule="auto"/>
      </w:pPr>
      <w:r>
        <w:separator/>
      </w:r>
    </w:p>
  </w:footnote>
  <w:footnote w:type="continuationSeparator" w:id="0">
    <w:p w:rsidR="00226258" w:rsidRDefault="00226258" w:rsidP="001B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78AD"/>
    <w:multiLevelType w:val="multilevel"/>
    <w:tmpl w:val="9A28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110"/>
    <w:multiLevelType w:val="multilevel"/>
    <w:tmpl w:val="017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0ED6"/>
    <w:multiLevelType w:val="multilevel"/>
    <w:tmpl w:val="B4E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EF5"/>
    <w:multiLevelType w:val="multilevel"/>
    <w:tmpl w:val="A69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D54B3"/>
    <w:multiLevelType w:val="multilevel"/>
    <w:tmpl w:val="1B3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F21C0"/>
    <w:multiLevelType w:val="multilevel"/>
    <w:tmpl w:val="118E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E08FF"/>
    <w:multiLevelType w:val="multilevel"/>
    <w:tmpl w:val="9BC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F42CB"/>
    <w:multiLevelType w:val="multilevel"/>
    <w:tmpl w:val="714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32333"/>
    <w:multiLevelType w:val="multilevel"/>
    <w:tmpl w:val="123A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47899"/>
    <w:multiLevelType w:val="multilevel"/>
    <w:tmpl w:val="946A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A709B"/>
    <w:multiLevelType w:val="multilevel"/>
    <w:tmpl w:val="855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C4104"/>
    <w:multiLevelType w:val="multilevel"/>
    <w:tmpl w:val="133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E0854"/>
    <w:multiLevelType w:val="multilevel"/>
    <w:tmpl w:val="5CB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23AEE"/>
    <w:multiLevelType w:val="multilevel"/>
    <w:tmpl w:val="F70A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15AB0"/>
    <w:multiLevelType w:val="multilevel"/>
    <w:tmpl w:val="B02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FA1C39"/>
    <w:multiLevelType w:val="multilevel"/>
    <w:tmpl w:val="FE9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55A53"/>
    <w:multiLevelType w:val="multilevel"/>
    <w:tmpl w:val="E1B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E50E3"/>
    <w:multiLevelType w:val="multilevel"/>
    <w:tmpl w:val="9BC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97DAF"/>
    <w:multiLevelType w:val="multilevel"/>
    <w:tmpl w:val="CF6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54305"/>
    <w:multiLevelType w:val="multilevel"/>
    <w:tmpl w:val="C9D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777B6"/>
    <w:multiLevelType w:val="multilevel"/>
    <w:tmpl w:val="A2D0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E1EEB"/>
    <w:multiLevelType w:val="multilevel"/>
    <w:tmpl w:val="B2D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C553F"/>
    <w:multiLevelType w:val="multilevel"/>
    <w:tmpl w:val="5320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A86CCA"/>
    <w:multiLevelType w:val="multilevel"/>
    <w:tmpl w:val="AD6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00889"/>
    <w:multiLevelType w:val="multilevel"/>
    <w:tmpl w:val="348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018FD"/>
    <w:multiLevelType w:val="multilevel"/>
    <w:tmpl w:val="9FE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06185"/>
    <w:multiLevelType w:val="multilevel"/>
    <w:tmpl w:val="E9E0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6286A"/>
    <w:multiLevelType w:val="multilevel"/>
    <w:tmpl w:val="6046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5"/>
  </w:num>
  <w:num w:numId="4">
    <w:abstractNumId w:val="9"/>
  </w:num>
  <w:num w:numId="5">
    <w:abstractNumId w:val="26"/>
  </w:num>
  <w:num w:numId="6">
    <w:abstractNumId w:val="7"/>
  </w:num>
  <w:num w:numId="7">
    <w:abstractNumId w:val="2"/>
  </w:num>
  <w:num w:numId="8">
    <w:abstractNumId w:val="23"/>
  </w:num>
  <w:num w:numId="9">
    <w:abstractNumId w:val="4"/>
  </w:num>
  <w:num w:numId="10">
    <w:abstractNumId w:val="0"/>
  </w:num>
  <w:num w:numId="11">
    <w:abstractNumId w:val="27"/>
  </w:num>
  <w:num w:numId="12">
    <w:abstractNumId w:val="21"/>
  </w:num>
  <w:num w:numId="13">
    <w:abstractNumId w:val="10"/>
  </w:num>
  <w:num w:numId="14">
    <w:abstractNumId w:val="14"/>
  </w:num>
  <w:num w:numId="15">
    <w:abstractNumId w:val="8"/>
  </w:num>
  <w:num w:numId="16">
    <w:abstractNumId w:val="6"/>
  </w:num>
  <w:num w:numId="17">
    <w:abstractNumId w:val="24"/>
  </w:num>
  <w:num w:numId="18">
    <w:abstractNumId w:val="20"/>
  </w:num>
  <w:num w:numId="19">
    <w:abstractNumId w:val="18"/>
  </w:num>
  <w:num w:numId="20">
    <w:abstractNumId w:val="13"/>
  </w:num>
  <w:num w:numId="21">
    <w:abstractNumId w:val="12"/>
  </w:num>
  <w:num w:numId="22">
    <w:abstractNumId w:val="25"/>
  </w:num>
  <w:num w:numId="23">
    <w:abstractNumId w:val="19"/>
  </w:num>
  <w:num w:numId="24">
    <w:abstractNumId w:val="22"/>
  </w:num>
  <w:num w:numId="25">
    <w:abstractNumId w:val="11"/>
  </w:num>
  <w:num w:numId="26">
    <w:abstractNumId w:val="17"/>
  </w:num>
  <w:num w:numId="27">
    <w:abstractNumId w:val="1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7F"/>
    <w:rsid w:val="0016380A"/>
    <w:rsid w:val="001B025C"/>
    <w:rsid w:val="00226258"/>
    <w:rsid w:val="0029283F"/>
    <w:rsid w:val="003004DE"/>
    <w:rsid w:val="00303C93"/>
    <w:rsid w:val="00326C4D"/>
    <w:rsid w:val="003D17DC"/>
    <w:rsid w:val="005F3BB6"/>
    <w:rsid w:val="00610090"/>
    <w:rsid w:val="00641B37"/>
    <w:rsid w:val="00704E8B"/>
    <w:rsid w:val="00766755"/>
    <w:rsid w:val="0086205C"/>
    <w:rsid w:val="00863B6D"/>
    <w:rsid w:val="00AD03E7"/>
    <w:rsid w:val="00D1237F"/>
    <w:rsid w:val="00E96D7F"/>
    <w:rsid w:val="00F050AC"/>
    <w:rsid w:val="00F9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AB70E-0ACF-4FB5-8B3C-A2A8AEAB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D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25C"/>
    <w:rPr>
      <w:color w:val="0000FF"/>
      <w:u w:val="single"/>
    </w:rPr>
  </w:style>
  <w:style w:type="paragraph" w:styleId="Header">
    <w:name w:val="header"/>
    <w:basedOn w:val="Normal"/>
    <w:link w:val="HeaderChar"/>
    <w:uiPriority w:val="99"/>
    <w:unhideWhenUsed/>
    <w:rsid w:val="001B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25C"/>
    <w:rPr>
      <w:rFonts w:ascii="Verdana" w:hAnsi="Verdana"/>
      <w:sz w:val="20"/>
    </w:rPr>
  </w:style>
  <w:style w:type="paragraph" w:styleId="Footer">
    <w:name w:val="footer"/>
    <w:basedOn w:val="Normal"/>
    <w:link w:val="FooterChar"/>
    <w:uiPriority w:val="99"/>
    <w:unhideWhenUsed/>
    <w:rsid w:val="001B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25C"/>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4293">
      <w:bodyDiv w:val="1"/>
      <w:marLeft w:val="0"/>
      <w:marRight w:val="0"/>
      <w:marTop w:val="0"/>
      <w:marBottom w:val="0"/>
      <w:divBdr>
        <w:top w:val="none" w:sz="0" w:space="0" w:color="auto"/>
        <w:left w:val="none" w:sz="0" w:space="0" w:color="auto"/>
        <w:bottom w:val="none" w:sz="0" w:space="0" w:color="auto"/>
        <w:right w:val="none" w:sz="0" w:space="0" w:color="auto"/>
      </w:divBdr>
    </w:div>
    <w:div w:id="457996233">
      <w:bodyDiv w:val="1"/>
      <w:marLeft w:val="0"/>
      <w:marRight w:val="0"/>
      <w:marTop w:val="0"/>
      <w:marBottom w:val="0"/>
      <w:divBdr>
        <w:top w:val="none" w:sz="0" w:space="0" w:color="auto"/>
        <w:left w:val="none" w:sz="0" w:space="0" w:color="auto"/>
        <w:bottom w:val="none" w:sz="0" w:space="0" w:color="auto"/>
        <w:right w:val="none" w:sz="0" w:space="0" w:color="auto"/>
      </w:divBdr>
    </w:div>
    <w:div w:id="650253595">
      <w:bodyDiv w:val="1"/>
      <w:marLeft w:val="0"/>
      <w:marRight w:val="0"/>
      <w:marTop w:val="0"/>
      <w:marBottom w:val="0"/>
      <w:divBdr>
        <w:top w:val="none" w:sz="0" w:space="0" w:color="auto"/>
        <w:left w:val="none" w:sz="0" w:space="0" w:color="auto"/>
        <w:bottom w:val="none" w:sz="0" w:space="0" w:color="auto"/>
        <w:right w:val="none" w:sz="0" w:space="0" w:color="auto"/>
      </w:divBdr>
    </w:div>
    <w:div w:id="981929157">
      <w:bodyDiv w:val="1"/>
      <w:marLeft w:val="0"/>
      <w:marRight w:val="0"/>
      <w:marTop w:val="0"/>
      <w:marBottom w:val="0"/>
      <w:divBdr>
        <w:top w:val="none" w:sz="0" w:space="0" w:color="auto"/>
        <w:left w:val="none" w:sz="0" w:space="0" w:color="auto"/>
        <w:bottom w:val="none" w:sz="0" w:space="0" w:color="auto"/>
        <w:right w:val="none" w:sz="0" w:space="0" w:color="auto"/>
      </w:divBdr>
    </w:div>
    <w:div w:id="1239363216">
      <w:bodyDiv w:val="1"/>
      <w:marLeft w:val="0"/>
      <w:marRight w:val="0"/>
      <w:marTop w:val="0"/>
      <w:marBottom w:val="0"/>
      <w:divBdr>
        <w:top w:val="none" w:sz="0" w:space="0" w:color="auto"/>
        <w:left w:val="none" w:sz="0" w:space="0" w:color="auto"/>
        <w:bottom w:val="none" w:sz="0" w:space="0" w:color="auto"/>
        <w:right w:val="none" w:sz="0" w:space="0" w:color="auto"/>
      </w:divBdr>
    </w:div>
    <w:div w:id="1474903625">
      <w:bodyDiv w:val="1"/>
      <w:marLeft w:val="0"/>
      <w:marRight w:val="0"/>
      <w:marTop w:val="0"/>
      <w:marBottom w:val="0"/>
      <w:divBdr>
        <w:top w:val="none" w:sz="0" w:space="0" w:color="auto"/>
        <w:left w:val="none" w:sz="0" w:space="0" w:color="auto"/>
        <w:bottom w:val="none" w:sz="0" w:space="0" w:color="auto"/>
        <w:right w:val="none" w:sz="0" w:space="0" w:color="auto"/>
      </w:divBdr>
    </w:div>
    <w:div w:id="168096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10</cp:revision>
  <dcterms:created xsi:type="dcterms:W3CDTF">2016-05-03T17:01:00Z</dcterms:created>
  <dcterms:modified xsi:type="dcterms:W3CDTF">2016-06-09T14:19:00Z</dcterms:modified>
</cp:coreProperties>
</file>