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>
  <ns0:body>
    <ns0:p>
      <ns0:r>
        <ns0:t xml:space="preserve">New York City Department of Environmental Protection</ns0:t>
      </ns0:r>
    </ns0:p>
    <ns0:p>
      <ns0:r>
        <ns0:t xml:space="preserve">Bureau of Water Supply - Natural Resources Division</ns0:t>
      </ns0:r>
    </ns0:p>
    <ns0:p>
      <ns0:r>
        <ns0:t xml:space="preserve">CARPENTERS EDDY EAST</ns0:t>
      </ns0:r>
    </ns0:p>
    <ns0:p>
      <ns0:r>
        <ns0:t xml:space="preserve">Forest Management Project # 5116</ns0:t>
      </ns0:r>
    </ns0:p>
    <ns0:p>
      <ns0:r>
        <ns0:t xml:space="preserve">NOTICE OF PROJECT AVAILABILITY</ns0:t>
      </ns0:r>
    </ns0:p>
    <ns0:p>
      <ns0:r>
        <ns0:t xml:space="preserve">Description: The City of New York will sell an estimated 187 MBF of hardwood sawtimber and 89 cords of hardwood pulp through Carpenters Eddy East Forest Management Project #5116 in the Cannonsville watershed basin.</ns0:t>
      </ns0:r>
    </ns0:p>
    <ns0:p>
      <ns0:r>
        <ns0:t xml:space="preserve">Summary: This sale is comprised of mostly mature red oak and white ash. The project includes approximately 2.5 miles of trail construction and 27 acres of shelterwood regeneration.</ns0:t>
      </ns0:r>
    </ns0:p>
    <ns0:p>
      <ns0:r>
        <ns0:t xml:space="preserve">Project Area: 103 ac +/-</ns0:t>
      </ns0:r>
    </ns0:p>
    <ns0:p>
      <ns0:r>
        <ns0:t xml:space="preserve">Total Volume: 187 MBF +/- sawtimber &amp; 89 cords hardwood pulp</ns0:t>
      </ns0:r>
    </ns0:p>
    <ns0:p>
      <ns0:r>
        <ns0:t xml:space="preserve">Species as a percent of total sawtimber volume: 49% Red Oak, 22% White Ash, 14% Red Maple, 9% Chestnut Oak.</ns0:t>
      </ns0:r>
    </ns0:p>
    <ns0:p>
      <ns0:r>
        <ns0:t xml:space="preserve">Show Dates: Prospective bidders should attend one of the public showings to receive the full bid package.</ns0:t>
      </ns0:r>
    </ns0:p>
    <ns0:p>
      <ns0:r>
        <ns0:t xml:space="preserve">Bid Deadline: Sealed bids must be received by the date stated in the official notice.</ns0:t>
      </ns0:r>
    </ns0:p>
  </ns0:body>
</ns0:document>
</file>