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6F3" w:rsidRPr="005F079C" w:rsidRDefault="005F079C">
      <w:pPr>
        <w:pStyle w:val="a5"/>
      </w:pPr>
      <w:r>
        <w:t>ECE568: Software Engineering of Web Application</w:t>
      </w:r>
      <w:bookmarkStart w:id="0" w:name="_GoBack"/>
      <w:bookmarkEnd w:id="0"/>
    </w:p>
    <w:p w:rsidR="00AA4025" w:rsidRDefault="00AA4025" w:rsidP="00AA4025">
      <w:pPr>
        <w:pStyle w:val="a7"/>
        <w:ind w:firstLineChars="50" w:firstLine="280"/>
      </w:pPr>
      <w:bookmarkStart w:id="1" w:name="OLE_LINK4"/>
      <w:bookmarkStart w:id="2" w:name="OLE_LINK5"/>
      <w:bookmarkStart w:id="3" w:name="OLE_LINK41"/>
      <w:bookmarkStart w:id="4" w:name="OLE_LINK42"/>
      <w:bookmarkStart w:id="5" w:name="OLE_LINK43"/>
      <w:r>
        <w:rPr>
          <w:rFonts w:hint="eastAsia"/>
        </w:rPr>
        <w:t>Technical</w:t>
      </w:r>
      <w:r>
        <w:rPr>
          <w:lang w:val="en-US"/>
        </w:rPr>
        <w:t xml:space="preserve"> </w:t>
      </w:r>
      <w:bookmarkEnd w:id="3"/>
      <w:bookmarkEnd w:id="4"/>
      <w:bookmarkEnd w:id="5"/>
      <w:r>
        <w:t>Analysis of AAPL</w:t>
      </w:r>
    </w:p>
    <w:bookmarkEnd w:id="1"/>
    <w:bookmarkEnd w:id="2"/>
    <w:p w:rsidR="004F46F3" w:rsidRDefault="005F079C">
      <w:pPr>
        <w:pStyle w:val="ae"/>
      </w:pPr>
      <w:proofErr w:type="spellStart"/>
      <w:r>
        <w:t>Chaoji</w:t>
      </w:r>
      <w:proofErr w:type="spellEnd"/>
      <w:r>
        <w:t xml:space="preserve"> </w:t>
      </w:r>
      <w:proofErr w:type="spellStart"/>
      <w:r>
        <w:t>Zuo</w:t>
      </w:r>
      <w:proofErr w:type="spellEnd"/>
    </w:p>
    <w:p w:rsidR="00F1474B" w:rsidRDefault="00F1474B" w:rsidP="00F1474B">
      <w:pPr>
        <w:pStyle w:val="ae"/>
      </w:pPr>
      <w:r>
        <w:t>Cz296/190003416</w:t>
      </w:r>
    </w:p>
    <w:p w:rsidR="00F1474B" w:rsidRDefault="00F1474B">
      <w:pPr>
        <w:pStyle w:val="ae"/>
      </w:pPr>
    </w:p>
    <w:p w:rsidR="00F1474B" w:rsidRDefault="00F1474B">
      <w:pPr>
        <w:pStyle w:val="ae"/>
      </w:pPr>
      <w:r>
        <w:t>February 14, 2019</w:t>
      </w:r>
    </w:p>
    <w:p w:rsidR="00F1474B" w:rsidRDefault="00F1474B">
      <w:pPr>
        <w:pStyle w:val="ae"/>
      </w:pPr>
    </w:p>
    <w:p w:rsidR="00F1474B" w:rsidRDefault="00F1474B">
      <w:pPr>
        <w:pStyle w:val="ae"/>
      </w:pPr>
      <w:r>
        <w:rPr>
          <w:rFonts w:hint="eastAsia"/>
        </w:rPr>
        <w:t>E</w:t>
      </w:r>
      <w:r>
        <w:t>CE, Rutgers</w:t>
      </w:r>
    </w:p>
    <w:p w:rsidR="004F46F3" w:rsidRDefault="005F079C">
      <w:pPr>
        <w:rPr>
          <w:rFonts w:hint="eastAsia"/>
        </w:rPr>
      </w:pPr>
      <w:r>
        <w:br w:type="page"/>
      </w:r>
    </w:p>
    <w:p w:rsidR="004F46F3" w:rsidRDefault="008E4628">
      <w:pPr>
        <w:pStyle w:val="1"/>
      </w:pPr>
      <w:bookmarkStart w:id="6" w:name="OLE_LINK9"/>
      <w:bookmarkStart w:id="7" w:name="OLE_LINK10"/>
      <w:bookmarkStart w:id="8" w:name="OLE_LINK11"/>
      <w:bookmarkStart w:id="9" w:name="OLE_LINK12"/>
      <w:bookmarkStart w:id="10" w:name="OLE_LINK13"/>
      <w:r>
        <w:lastRenderedPageBreak/>
        <w:t>Trend</w:t>
      </w:r>
      <w:r w:rsidR="00791DE7">
        <w:t xml:space="preserve"> lines and channels</w:t>
      </w:r>
    </w:p>
    <w:p w:rsidR="00791DE7" w:rsidRDefault="00791DE7" w:rsidP="00791DE7">
      <w:pPr>
        <w:rPr>
          <w:shd w:val="clear" w:color="auto" w:fill="FFFFFF"/>
          <w:lang w:val="en-US"/>
        </w:rPr>
      </w:pPr>
      <w:bookmarkStart w:id="11" w:name="OLE_LINK1"/>
      <w:bookmarkStart w:id="12" w:name="OLE_LINK2"/>
      <w:bookmarkStart w:id="13" w:name="OLE_LINK3"/>
      <w:bookmarkEnd w:id="6"/>
      <w:bookmarkEnd w:id="7"/>
      <w:bookmarkEnd w:id="8"/>
      <w:bookmarkEnd w:id="9"/>
      <w:bookmarkEnd w:id="10"/>
      <w:r>
        <w:rPr>
          <w:rFonts w:hint="eastAsia"/>
          <w:shd w:val="clear" w:color="auto" w:fill="FFFFFF"/>
          <w:lang w:val="en-US"/>
        </w:rPr>
        <w:t>Trend</w:t>
      </w:r>
      <w:r>
        <w:rPr>
          <w:shd w:val="clear" w:color="auto" w:fill="FFFFFF"/>
          <w:lang w:val="en-US"/>
        </w:rPr>
        <w:t xml:space="preserve"> is the most basic concept in technical analysis, it indicates the current direction of share prices.</w:t>
      </w:r>
      <w:r>
        <w:rPr>
          <w:rFonts w:hint="eastAsia"/>
          <w:shd w:val="clear" w:color="auto" w:fill="FFFFFF"/>
          <w:lang w:val="en-US"/>
        </w:rPr>
        <w:t xml:space="preserve"> </w:t>
      </w:r>
      <w:r w:rsidRPr="00791DE7">
        <w:rPr>
          <w:shd w:val="clear" w:color="auto" w:fill="FFFFFF"/>
          <w:lang w:val="en-US"/>
        </w:rPr>
        <w:t xml:space="preserve">When stock prices continue to rise higher, it is considered to be in an uptrend and vice versa for a downtrend. Uptrends indicate increasing demand for shares, as buyers are willing to pay higher prices as supply diminishes. Downtrends represent an oversupply of shares with waning buying interest resulting in falling prices. By connecting the various high and low points on a chart, </w:t>
      </w:r>
      <w:r>
        <w:rPr>
          <w:shd w:val="clear" w:color="auto" w:fill="FFFFFF"/>
          <w:lang w:val="en-US"/>
        </w:rPr>
        <w:t>we</w:t>
      </w:r>
      <w:r w:rsidRPr="00791DE7">
        <w:rPr>
          <w:shd w:val="clear" w:color="auto" w:fill="FFFFFF"/>
          <w:lang w:val="en-US"/>
        </w:rPr>
        <w:t xml:space="preserve"> can manually generate trendlines that pinpoint support/resistance and direction of stock prices. When compared to historical templates of similar trendlines, </w:t>
      </w:r>
      <w:r>
        <w:rPr>
          <w:shd w:val="clear" w:color="auto" w:fill="FFFFFF"/>
          <w:lang w:val="en-US"/>
        </w:rPr>
        <w:t>we</w:t>
      </w:r>
      <w:r w:rsidRPr="00791DE7">
        <w:rPr>
          <w:shd w:val="clear" w:color="auto" w:fill="FFFFFF"/>
          <w:lang w:val="en-US"/>
        </w:rPr>
        <w:t xml:space="preserve"> may be able to forecast the future direction, turning/inflection points and targets.</w:t>
      </w:r>
    </w:p>
    <w:p w:rsidR="00DC3495" w:rsidRDefault="00DC3495" w:rsidP="00791DE7">
      <w:pPr>
        <w:rPr>
          <w:shd w:val="clear" w:color="auto" w:fill="FFFFFF"/>
          <w:lang w:val="en-US"/>
        </w:rPr>
      </w:pPr>
      <w:r w:rsidRPr="00DC3495">
        <w:rPr>
          <w:shd w:val="clear" w:color="auto" w:fill="FFFFFF"/>
          <w:lang w:val="en-US"/>
        </w:rPr>
        <w:t>A trend line is a straight line that connects two or more price points and then extends into the future to act as a line of support or resistance</w:t>
      </w:r>
      <w:r>
        <w:rPr>
          <w:shd w:val="clear" w:color="auto" w:fill="FFFFFF"/>
          <w:lang w:val="en-US"/>
        </w:rPr>
        <w:t>. Therefore, it is easy to draw a trend line.</w:t>
      </w:r>
    </w:p>
    <w:p w:rsidR="00791DE7" w:rsidRDefault="00791DE7" w:rsidP="00791DE7">
      <w:pPr>
        <w:rPr>
          <w:shd w:val="clear" w:color="auto" w:fill="FFFFFF"/>
          <w:lang w:val="en-US"/>
        </w:rPr>
      </w:pPr>
      <w:r>
        <w:rPr>
          <w:rFonts w:hint="eastAsia"/>
          <w:shd w:val="clear" w:color="auto" w:fill="FFFFFF"/>
          <w:lang w:val="en-US"/>
        </w:rPr>
        <w:t>F</w:t>
      </w:r>
      <w:r>
        <w:rPr>
          <w:shd w:val="clear" w:color="auto" w:fill="FFFFFF"/>
          <w:lang w:val="en-US"/>
        </w:rPr>
        <w:t>igure 1 shows the trend line</w:t>
      </w:r>
      <w:r w:rsidR="00DC3495">
        <w:rPr>
          <w:shd w:val="clear" w:color="auto" w:fill="FFFFFF"/>
          <w:lang w:val="en-US"/>
        </w:rPr>
        <w:t>s</w:t>
      </w:r>
      <w:r>
        <w:rPr>
          <w:shd w:val="clear" w:color="auto" w:fill="FFFFFF"/>
          <w:lang w:val="en-US"/>
        </w:rPr>
        <w:t xml:space="preserve"> I draw using the </w:t>
      </w:r>
      <w:r w:rsidR="00DC3495">
        <w:rPr>
          <w:shd w:val="clear" w:color="auto" w:fill="FFFFFF"/>
          <w:lang w:val="en-US"/>
        </w:rPr>
        <w:t>stock price of AAPL from 1/2018 to 1/2019.</w:t>
      </w:r>
    </w:p>
    <w:p w:rsidR="00791DE7" w:rsidRDefault="00DC3495" w:rsidP="00791DE7">
      <w:pPr>
        <w:jc w:val="center"/>
        <w:rPr>
          <w:shd w:val="clear" w:color="auto" w:fill="FFFFFF"/>
          <w:lang w:val="en-US"/>
        </w:rPr>
      </w:pPr>
      <w:r w:rsidRPr="00DC3495">
        <w:rPr>
          <w:shd w:val="clear" w:color="auto" w:fill="FFFFFF"/>
          <w:lang w:val="en-US"/>
        </w:rPr>
        <w:drawing>
          <wp:inline distT="0" distB="0" distL="0" distR="0" wp14:anchorId="66F81CC5" wp14:editId="6DFD43A6">
            <wp:extent cx="5860415" cy="2596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0415" cy="2596515"/>
                    </a:xfrm>
                    <a:prstGeom prst="rect">
                      <a:avLst/>
                    </a:prstGeom>
                  </pic:spPr>
                </pic:pic>
              </a:graphicData>
            </a:graphic>
          </wp:inline>
        </w:drawing>
      </w:r>
    </w:p>
    <w:p w:rsidR="00791DE7" w:rsidRPr="00791DE7" w:rsidRDefault="00791DE7" w:rsidP="00791DE7">
      <w:pPr>
        <w:jc w:val="center"/>
        <w:rPr>
          <w:rFonts w:hint="eastAsia"/>
          <w:shd w:val="clear" w:color="auto" w:fill="FFFFFF"/>
          <w:lang w:val="en-US"/>
        </w:rPr>
      </w:pPr>
      <w:r>
        <w:rPr>
          <w:rFonts w:hint="eastAsia"/>
          <w:shd w:val="clear" w:color="auto" w:fill="FFFFFF"/>
          <w:lang w:val="en-US"/>
        </w:rPr>
        <w:t>F</w:t>
      </w:r>
      <w:r>
        <w:rPr>
          <w:shd w:val="clear" w:color="auto" w:fill="FFFFFF"/>
          <w:lang w:val="en-US"/>
        </w:rPr>
        <w:t xml:space="preserve">igure 1. uptrend </w:t>
      </w:r>
      <w:r w:rsidR="00DC3495">
        <w:rPr>
          <w:shd w:val="clear" w:color="auto" w:fill="FFFFFF"/>
          <w:lang w:val="en-US"/>
        </w:rPr>
        <w:t xml:space="preserve">line and downtrend during </w:t>
      </w:r>
      <w:r w:rsidR="00596EEF">
        <w:rPr>
          <w:shd w:val="clear" w:color="auto" w:fill="FFFFFF"/>
          <w:lang w:val="en-US"/>
        </w:rPr>
        <w:t>1/1/</w:t>
      </w:r>
      <w:r w:rsidR="00DC3495">
        <w:rPr>
          <w:shd w:val="clear" w:color="auto" w:fill="FFFFFF"/>
          <w:lang w:val="en-US"/>
        </w:rPr>
        <w:t xml:space="preserve">2018 to </w:t>
      </w:r>
      <w:r w:rsidR="00596EEF">
        <w:rPr>
          <w:shd w:val="clear" w:color="auto" w:fill="FFFFFF"/>
          <w:lang w:val="en-US"/>
        </w:rPr>
        <w:t>1/22/</w:t>
      </w:r>
      <w:r w:rsidR="00DC3495">
        <w:rPr>
          <w:shd w:val="clear" w:color="auto" w:fill="FFFFFF"/>
          <w:lang w:val="en-US"/>
        </w:rPr>
        <w:t>2019</w:t>
      </w:r>
    </w:p>
    <w:bookmarkEnd w:id="11"/>
    <w:bookmarkEnd w:id="12"/>
    <w:bookmarkEnd w:id="13"/>
    <w:p w:rsidR="004F46F3" w:rsidRDefault="00851E8F">
      <w:pPr>
        <w:rPr>
          <w:lang w:val="en-US"/>
        </w:rPr>
      </w:pPr>
      <w:r>
        <w:rPr>
          <w:lang w:val="en-US"/>
        </w:rPr>
        <w:t xml:space="preserve">Another import thing about trend lines is channels. </w:t>
      </w:r>
      <w:r w:rsidRPr="00851E8F">
        <w:rPr>
          <w:lang w:val="en-US"/>
        </w:rPr>
        <w:t>A price channel is used in technical analysis to chart the price action of a security between two parallel lines.</w:t>
      </w:r>
      <w:r>
        <w:rPr>
          <w:lang w:val="en-US"/>
        </w:rPr>
        <w:t xml:space="preserve"> </w:t>
      </w:r>
      <w:r w:rsidRPr="00851E8F">
        <w:rPr>
          <w:lang w:val="en-US"/>
        </w:rPr>
        <w:t>can be upward or downward trending. It may also be trending sideways with no clear upward or downward trend.</w:t>
      </w:r>
    </w:p>
    <w:p w:rsidR="00851E8F" w:rsidRDefault="00851E8F">
      <w:pPr>
        <w:rPr>
          <w:lang w:val="en-US"/>
        </w:rPr>
      </w:pPr>
      <w:r>
        <w:rPr>
          <w:lang w:val="en-US"/>
        </w:rPr>
        <w:t xml:space="preserve">Buying shares is safe when a stock is in upward channel. </w:t>
      </w:r>
      <w:r w:rsidRPr="00851E8F">
        <w:rPr>
          <w:lang w:val="en-US"/>
        </w:rPr>
        <w:t>Therefore, the investor can likely expect a security to increase when reaching the lower bound, thus providing for a buy position at a discount price.</w:t>
      </w:r>
    </w:p>
    <w:p w:rsidR="00851E8F" w:rsidRDefault="00851E8F">
      <w:pPr>
        <w:rPr>
          <w:lang w:val="en-US"/>
        </w:rPr>
      </w:pPr>
      <w:r>
        <w:rPr>
          <w:rFonts w:hint="eastAsia"/>
          <w:lang w:val="en-US"/>
        </w:rPr>
        <w:t>F</w:t>
      </w:r>
      <w:r>
        <w:rPr>
          <w:lang w:val="en-US"/>
        </w:rPr>
        <w:t>igure 2 shows the channels I draw using the same data as Figure 1.</w:t>
      </w:r>
    </w:p>
    <w:p w:rsidR="00851E8F" w:rsidRDefault="00851E8F" w:rsidP="00851E8F">
      <w:pPr>
        <w:jc w:val="center"/>
        <w:rPr>
          <w:lang w:val="en-US"/>
        </w:rPr>
      </w:pPr>
      <w:r w:rsidRPr="00851E8F">
        <w:rPr>
          <w:lang w:val="en-US"/>
        </w:rPr>
        <w:lastRenderedPageBreak/>
        <w:drawing>
          <wp:inline distT="0" distB="0" distL="0" distR="0" wp14:anchorId="3FC1AF50" wp14:editId="54916171">
            <wp:extent cx="5860415" cy="27146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415" cy="2714625"/>
                    </a:xfrm>
                    <a:prstGeom prst="rect">
                      <a:avLst/>
                    </a:prstGeom>
                  </pic:spPr>
                </pic:pic>
              </a:graphicData>
            </a:graphic>
          </wp:inline>
        </w:drawing>
      </w:r>
    </w:p>
    <w:p w:rsidR="00851E8F" w:rsidRDefault="00851E8F" w:rsidP="00851E8F">
      <w:pPr>
        <w:jc w:val="center"/>
        <w:rPr>
          <w:rFonts w:hint="eastAsia"/>
          <w:lang w:val="en-US"/>
        </w:rPr>
      </w:pPr>
      <w:r>
        <w:rPr>
          <w:rFonts w:hint="eastAsia"/>
          <w:lang w:val="en-US"/>
        </w:rPr>
        <w:t>F</w:t>
      </w:r>
      <w:r>
        <w:rPr>
          <w:lang w:val="en-US"/>
        </w:rPr>
        <w:t xml:space="preserve">igure 2. channels </w:t>
      </w:r>
      <w:r w:rsidR="00596EEF">
        <w:rPr>
          <w:lang w:val="en-US"/>
        </w:rPr>
        <w:t>of AAPL during 3/26/2018 to 2/14/2019</w:t>
      </w:r>
    </w:p>
    <w:p w:rsidR="00851E8F" w:rsidRPr="00596EEF" w:rsidRDefault="00596EEF">
      <w:pPr>
        <w:rPr>
          <w:rFonts w:hint="eastAsia"/>
          <w:lang w:val="en-US"/>
        </w:rPr>
      </w:pPr>
      <w:r>
        <w:rPr>
          <w:lang w:val="en-US"/>
        </w:rPr>
        <w:t>The channels are the areas between the purple lines and green lines.</w:t>
      </w:r>
    </w:p>
    <w:p w:rsidR="004F46F3" w:rsidRDefault="00596EEF">
      <w:pPr>
        <w:pStyle w:val="2"/>
      </w:pPr>
      <w:r>
        <w:t xml:space="preserve">Support and </w:t>
      </w:r>
      <w:bookmarkStart w:id="14" w:name="OLE_LINK31"/>
      <w:bookmarkStart w:id="15" w:name="OLE_LINK32"/>
      <w:bookmarkStart w:id="16" w:name="OLE_LINK33"/>
      <w:r>
        <w:t>resistance</w:t>
      </w:r>
      <w:bookmarkEnd w:id="14"/>
      <w:bookmarkEnd w:id="15"/>
      <w:bookmarkEnd w:id="16"/>
    </w:p>
    <w:p w:rsidR="00A62218" w:rsidRDefault="00A62218" w:rsidP="00A62218">
      <w:pPr>
        <w:rPr>
          <w:lang w:val="en-US"/>
        </w:rPr>
      </w:pPr>
      <w:r w:rsidRPr="00A62218">
        <w:rPr>
          <w:lang w:val="en-US"/>
        </w:rPr>
        <w:t>Support is the price level at which demand is thought to be strong enough to prevent the price from declining further. The logic dictates that as the price declines towards support and gets cheaper, buyers become more inclined to buy and sellers become less inclined to sell. By the time the price reaches the support level, it is believed that demand will overcome supply and prevent the price from falling below support.</w:t>
      </w:r>
    </w:p>
    <w:p w:rsidR="00A62218" w:rsidRDefault="00A62218" w:rsidP="00A62218">
      <w:pPr>
        <w:rPr>
          <w:lang w:val="en-US"/>
        </w:rPr>
      </w:pPr>
      <w:r>
        <w:rPr>
          <w:rFonts w:hint="eastAsia"/>
          <w:lang w:val="en-US"/>
        </w:rPr>
        <w:t>F</w:t>
      </w:r>
      <w:r>
        <w:rPr>
          <w:lang w:val="en-US"/>
        </w:rPr>
        <w:t>igure 3 shows a support I draw using the AAPL data.</w:t>
      </w:r>
    </w:p>
    <w:p w:rsidR="00A62218" w:rsidRDefault="00A62218" w:rsidP="00A62218">
      <w:pPr>
        <w:jc w:val="center"/>
        <w:rPr>
          <w:lang w:val="en-US"/>
        </w:rPr>
      </w:pPr>
      <w:r w:rsidRPr="00A62218">
        <w:rPr>
          <w:lang w:val="en-US"/>
        </w:rPr>
        <w:drawing>
          <wp:inline distT="0" distB="0" distL="0" distR="0" wp14:anchorId="22F0230D" wp14:editId="20C43B9C">
            <wp:extent cx="5860415" cy="26257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0415" cy="2625725"/>
                    </a:xfrm>
                    <a:prstGeom prst="rect">
                      <a:avLst/>
                    </a:prstGeom>
                  </pic:spPr>
                </pic:pic>
              </a:graphicData>
            </a:graphic>
          </wp:inline>
        </w:drawing>
      </w:r>
    </w:p>
    <w:p w:rsidR="00A62218" w:rsidRDefault="00A62218" w:rsidP="00A62218">
      <w:pPr>
        <w:jc w:val="center"/>
        <w:rPr>
          <w:lang w:val="en-US"/>
        </w:rPr>
      </w:pPr>
      <w:r>
        <w:rPr>
          <w:rFonts w:hint="eastAsia"/>
          <w:lang w:val="en-US"/>
        </w:rPr>
        <w:t>F</w:t>
      </w:r>
      <w:r>
        <w:rPr>
          <w:lang w:val="en-US"/>
        </w:rPr>
        <w:t>igure 3. A support of AAPL stock during 10/29/2014 to 10/26/2015</w:t>
      </w:r>
    </w:p>
    <w:p w:rsidR="00A62218" w:rsidRDefault="00A62218" w:rsidP="00A62218">
      <w:pPr>
        <w:rPr>
          <w:lang w:val="en-US"/>
        </w:rPr>
      </w:pPr>
      <w:r w:rsidRPr="00A62218">
        <w:rPr>
          <w:lang w:val="en-US"/>
        </w:rPr>
        <w:lastRenderedPageBreak/>
        <w:t>Resistance is the price level at which selling is thought to be strong enough to prevent the price from rising further. The logic dictates that as the price advances towards resistance, sellers become more inclined to sell and buyers become less inclined to buy. By the time the price reaches the resistance level, it is believed that supply will overcome demand and prevent the price from rising above resistance.</w:t>
      </w:r>
    </w:p>
    <w:p w:rsidR="00A62218" w:rsidRDefault="00A62218" w:rsidP="00A62218">
      <w:pPr>
        <w:rPr>
          <w:lang w:val="en-US"/>
        </w:rPr>
      </w:pPr>
      <w:r>
        <w:rPr>
          <w:rFonts w:hint="eastAsia"/>
          <w:lang w:val="en-US"/>
        </w:rPr>
        <w:t>F</w:t>
      </w:r>
      <w:r>
        <w:rPr>
          <w:lang w:val="en-US"/>
        </w:rPr>
        <w:t>igure 4 shows a resistance I draw using the AAPL data.</w:t>
      </w:r>
    </w:p>
    <w:p w:rsidR="00A62218" w:rsidRDefault="00A62218" w:rsidP="00A62218">
      <w:pPr>
        <w:jc w:val="center"/>
        <w:rPr>
          <w:lang w:val="en-US"/>
        </w:rPr>
      </w:pPr>
      <w:r w:rsidRPr="00A62218">
        <w:rPr>
          <w:lang w:val="en-US"/>
        </w:rPr>
        <w:drawing>
          <wp:inline distT="0" distB="0" distL="0" distR="0" wp14:anchorId="040A513B" wp14:editId="2EA30A7B">
            <wp:extent cx="5860415" cy="2606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2606675"/>
                    </a:xfrm>
                    <a:prstGeom prst="rect">
                      <a:avLst/>
                    </a:prstGeom>
                  </pic:spPr>
                </pic:pic>
              </a:graphicData>
            </a:graphic>
          </wp:inline>
        </w:drawing>
      </w:r>
    </w:p>
    <w:p w:rsidR="00AA4025" w:rsidRDefault="00A62218" w:rsidP="00AA4025">
      <w:pPr>
        <w:jc w:val="center"/>
        <w:rPr>
          <w:rFonts w:hint="eastAsia"/>
          <w:lang w:val="en-US"/>
        </w:rPr>
      </w:pPr>
      <w:r>
        <w:rPr>
          <w:rFonts w:hint="eastAsia"/>
          <w:lang w:val="en-US"/>
        </w:rPr>
        <w:t>F</w:t>
      </w:r>
      <w:r>
        <w:rPr>
          <w:lang w:val="en-US"/>
        </w:rPr>
        <w:t xml:space="preserve">igure 4. A resistance </w:t>
      </w:r>
      <w:r w:rsidR="00F04E3F">
        <w:rPr>
          <w:lang w:val="en-US"/>
        </w:rPr>
        <w:t>of AAPL stock during 9/18/2017 to 1/31/2018</w:t>
      </w:r>
    </w:p>
    <w:p w:rsidR="00AA4025" w:rsidRDefault="00AA4025" w:rsidP="00AA4025">
      <w:pPr>
        <w:pStyle w:val="2"/>
      </w:pPr>
      <w:r w:rsidRPr="00AA4025">
        <w:t>I</w:t>
      </w:r>
      <w:r w:rsidRPr="00AA4025">
        <w:t>ndicators</w:t>
      </w:r>
    </w:p>
    <w:p w:rsidR="00AA4025" w:rsidRDefault="00D8082A" w:rsidP="00AA4025">
      <w:pPr>
        <w:rPr>
          <w:lang w:val="en-US"/>
        </w:rPr>
      </w:pPr>
      <w:r w:rsidRPr="00D8082A">
        <w:rPr>
          <w:lang w:val="en-US"/>
        </w:rPr>
        <w:t>Indicators are the cornerstones of technical analysis and play an important role in giving and confirming entry and exit signals in stock trading systems.</w:t>
      </w:r>
      <w:r w:rsidR="00776C6F">
        <w:rPr>
          <w:lang w:val="en-US"/>
        </w:rPr>
        <w:t xml:space="preserve"> They can help us to analysis the stocks. </w:t>
      </w:r>
      <w:r w:rsidRPr="00D8082A">
        <w:rPr>
          <w:rFonts w:hint="eastAsia"/>
          <w:lang w:val="en-US"/>
        </w:rPr>
        <w:t>T</w:t>
      </w:r>
      <w:r w:rsidRPr="00D8082A">
        <w:rPr>
          <w:lang w:val="en-US"/>
        </w:rPr>
        <w:t xml:space="preserve">here are quite a number of different types of </w:t>
      </w:r>
      <w:proofErr w:type="gramStart"/>
      <w:r w:rsidRPr="00D8082A">
        <w:rPr>
          <w:lang w:val="en-US"/>
        </w:rPr>
        <w:t>indicators</w:t>
      </w:r>
      <w:proofErr w:type="gramEnd"/>
      <w:r w:rsidRPr="00D8082A">
        <w:rPr>
          <w:lang w:val="en-US"/>
        </w:rPr>
        <w:t xml:space="preserve"> but they all fall into two categories:</w:t>
      </w:r>
    </w:p>
    <w:p w:rsidR="00D8082A" w:rsidRPr="00D8082A" w:rsidRDefault="00D8082A" w:rsidP="00D8082A">
      <w:pPr>
        <w:pStyle w:val="a"/>
        <w:rPr>
          <w:lang w:val="en-US"/>
        </w:rPr>
      </w:pPr>
      <w:r w:rsidRPr="00D8082A">
        <w:rPr>
          <w:lang w:val="en-US"/>
        </w:rPr>
        <w:t>Leading Indicators are indicators that lead price movement. In other words, they indicate the probability of a trend reversal in advance. Most leading indicators measure price momentum over a fixed look-back period. Some of the popular leading indicators include the Commodity Channel Index (CCI), the Relative Strength Index (RSI), the Stochastic Oscillator and the Williams' %R.</w:t>
      </w:r>
    </w:p>
    <w:p w:rsidR="00D8082A" w:rsidRDefault="00D8082A" w:rsidP="00D8082A">
      <w:pPr>
        <w:pStyle w:val="a"/>
        <w:rPr>
          <w:lang w:val="en-US"/>
        </w:rPr>
      </w:pPr>
      <w:r w:rsidRPr="00D8082A">
        <w:rPr>
          <w:lang w:val="en-US"/>
        </w:rPr>
        <w:t>Lagging Indicators, which follow the price movement, are usually trend-following indicators, such as the moving averages (MA) and Moving Average Convergence/Divergence (MACD). These indicators turn only after the price action has already turned and therefore lag price action.</w:t>
      </w:r>
    </w:p>
    <w:p w:rsidR="00776C6F" w:rsidRDefault="00776C6F" w:rsidP="00776C6F">
      <w:pPr>
        <w:pStyle w:val="4"/>
        <w:rPr>
          <w:lang w:val="en-US"/>
        </w:rPr>
      </w:pPr>
      <w:r>
        <w:rPr>
          <w:lang w:val="en-US"/>
        </w:rPr>
        <w:lastRenderedPageBreak/>
        <w:t>The Moving Average (MA) indicators</w:t>
      </w:r>
    </w:p>
    <w:p w:rsidR="00776C6F" w:rsidRDefault="00776C6F" w:rsidP="00776C6F">
      <w:pPr>
        <w:rPr>
          <w:lang w:val="en-US"/>
        </w:rPr>
      </w:pPr>
      <w:r w:rsidRPr="00776C6F">
        <w:rPr>
          <w:lang w:val="en-US"/>
        </w:rPr>
        <w:t xml:space="preserve">Moving Averages (MAs) are trend indicators that can be used to determine the presence and direction of a trend. </w:t>
      </w:r>
    </w:p>
    <w:p w:rsidR="00BC1C71" w:rsidRDefault="00BC1C71" w:rsidP="00776C6F">
      <w:pPr>
        <w:rPr>
          <w:lang w:val="en-US"/>
        </w:rPr>
      </w:pPr>
      <w:r>
        <w:rPr>
          <w:lang w:val="en-US"/>
        </w:rPr>
        <w:t>There are several types of moving averages</w:t>
      </w:r>
      <w:r w:rsidR="002A3FC3">
        <w:rPr>
          <w:lang w:val="en-US"/>
        </w:rPr>
        <w:t>.</w:t>
      </w:r>
    </w:p>
    <w:p w:rsidR="002A3FC3" w:rsidRDefault="002A3FC3" w:rsidP="002A3FC3">
      <w:pPr>
        <w:jc w:val="center"/>
        <w:rPr>
          <w:lang w:val="en-US"/>
        </w:rPr>
      </w:pPr>
      <w:r w:rsidRPr="002A3FC3">
        <w:rPr>
          <w:lang w:val="en-US"/>
        </w:rPr>
        <w:drawing>
          <wp:inline distT="0" distB="0" distL="0" distR="0" wp14:anchorId="3F258A68" wp14:editId="6D799C00">
            <wp:extent cx="5054400" cy="3402000"/>
            <wp:effectExtent l="0" t="0" r="6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400" cy="3402000"/>
                    </a:xfrm>
                    <a:prstGeom prst="rect">
                      <a:avLst/>
                    </a:prstGeom>
                  </pic:spPr>
                </pic:pic>
              </a:graphicData>
            </a:graphic>
          </wp:inline>
        </w:drawing>
      </w:r>
    </w:p>
    <w:p w:rsidR="00CE0305" w:rsidRDefault="00CE0305" w:rsidP="002A3FC3">
      <w:pPr>
        <w:jc w:val="center"/>
        <w:rPr>
          <w:rFonts w:hint="eastAsia"/>
          <w:lang w:val="en-US"/>
        </w:rPr>
      </w:pPr>
      <w:r>
        <w:rPr>
          <w:rFonts w:hint="eastAsia"/>
          <w:lang w:val="en-US"/>
        </w:rPr>
        <w:t>F</w:t>
      </w:r>
      <w:r>
        <w:rPr>
          <w:lang w:val="en-US"/>
        </w:rPr>
        <w:t>igure 5. Moving averages of AAPL from 5/1/2018 to 2/12/2019</w:t>
      </w:r>
    </w:p>
    <w:p w:rsidR="002A3FC3" w:rsidRPr="002A3FC3" w:rsidRDefault="002A3FC3" w:rsidP="002A3FC3">
      <w:pPr>
        <w:pStyle w:val="a"/>
        <w:rPr>
          <w:lang w:val="en-US"/>
        </w:rPr>
      </w:pPr>
      <w:r w:rsidRPr="002A3FC3">
        <w:rPr>
          <w:lang w:val="en-US"/>
        </w:rPr>
        <w:t>The Simple MA is simply the average of the price data for the period under analysis with no extra weighting given to any of the data. Thus, a 5-day MA is calculated simply by calculating the sum of the price for the past 5 days and dividing the result by 5, with the formula being:</w:t>
      </w:r>
    </w:p>
    <w:p w:rsidR="002A3FC3" w:rsidRDefault="002A3FC3" w:rsidP="001F41BA">
      <w:pPr>
        <w:pStyle w:val="a"/>
        <w:numPr>
          <w:ilvl w:val="0"/>
          <w:numId w:val="0"/>
        </w:numPr>
        <w:ind w:left="749"/>
        <w:rPr>
          <w:lang w:val="en-US"/>
        </w:rPr>
      </w:pPr>
      <w:proofErr w:type="spellStart"/>
      <w:r w:rsidRPr="002A3FC3">
        <w:rPr>
          <w:lang w:val="en-US"/>
        </w:rPr>
        <w:t>SMAn</w:t>
      </w:r>
      <w:proofErr w:type="spellEnd"/>
      <w:r w:rsidRPr="002A3FC3">
        <w:rPr>
          <w:lang w:val="en-US"/>
        </w:rPr>
        <w:t xml:space="preserve"> = </w:t>
      </w:r>
      <w:proofErr w:type="gramStart"/>
      <w:r w:rsidRPr="002A3FC3">
        <w:rPr>
          <w:lang w:val="en-US"/>
        </w:rPr>
        <w:t>( price</w:t>
      </w:r>
      <w:proofErr w:type="gramEnd"/>
      <w:r w:rsidRPr="002A3FC3">
        <w:rPr>
          <w:lang w:val="en-US"/>
        </w:rPr>
        <w:t xml:space="preserve">1 + price2 + ... + </w:t>
      </w:r>
      <w:proofErr w:type="spellStart"/>
      <w:r w:rsidRPr="002A3FC3">
        <w:rPr>
          <w:lang w:val="en-US"/>
        </w:rPr>
        <w:t>pricen</w:t>
      </w:r>
      <w:proofErr w:type="spellEnd"/>
      <w:r w:rsidRPr="002A3FC3">
        <w:rPr>
          <w:lang w:val="en-US"/>
        </w:rPr>
        <w:t xml:space="preserve"> ) / n</w:t>
      </w:r>
      <w:r w:rsidR="001F41BA">
        <w:rPr>
          <w:lang w:val="en-US"/>
        </w:rPr>
        <w:t>. W</w:t>
      </w:r>
      <w:r w:rsidRPr="002A3FC3">
        <w:rPr>
          <w:lang w:val="en-US"/>
        </w:rPr>
        <w:t>here n is the period of the SMA as specified by the trader.</w:t>
      </w:r>
    </w:p>
    <w:p w:rsidR="002A3FC3" w:rsidRDefault="002A3FC3" w:rsidP="002A3FC3">
      <w:pPr>
        <w:pStyle w:val="a"/>
        <w:numPr>
          <w:ilvl w:val="0"/>
          <w:numId w:val="0"/>
        </w:numPr>
        <w:ind w:left="749"/>
        <w:rPr>
          <w:lang w:val="en-US"/>
        </w:rPr>
      </w:pPr>
      <w:r>
        <w:rPr>
          <w:rFonts w:hint="eastAsia"/>
          <w:lang w:val="en-US"/>
        </w:rPr>
        <w:t>T</w:t>
      </w:r>
      <w:r>
        <w:rPr>
          <w:lang w:val="en-US"/>
        </w:rPr>
        <w:t>he black line in Figure 5 shows a 50-day SMA of AAPL and the purple shows a 5-day SMA.</w:t>
      </w:r>
    </w:p>
    <w:p w:rsidR="002A3FC3" w:rsidRDefault="002A3FC3" w:rsidP="002A3FC3">
      <w:pPr>
        <w:pStyle w:val="a"/>
        <w:rPr>
          <w:lang w:val="en-US"/>
        </w:rPr>
      </w:pPr>
      <w:r w:rsidRPr="002A3FC3">
        <w:rPr>
          <w:lang w:val="en-US"/>
        </w:rPr>
        <w:t>The Exponential MA is a refinement of the SMA that attempts to assign more weight to the most recent data, making it less sensitive to the price that is dropped from the calculation, and reduces lag. This is accomplished by applying a smoothing constant to a SMA and then calculating the EMA. Thus, the EMA is calculated in three stage: First, calculate the SMA for the period (n); Second, calculate the Smoothing Constant (Sm) using the formula:</w:t>
      </w:r>
    </w:p>
    <w:p w:rsidR="002A3FC3" w:rsidRDefault="002A3FC3" w:rsidP="002A3FC3">
      <w:pPr>
        <w:pStyle w:val="a"/>
        <w:numPr>
          <w:ilvl w:val="0"/>
          <w:numId w:val="0"/>
        </w:numPr>
        <w:ind w:left="749"/>
        <w:rPr>
          <w:lang w:val="en-US"/>
        </w:rPr>
      </w:pPr>
      <w:r w:rsidRPr="002A3FC3">
        <w:rPr>
          <w:lang w:val="en-US"/>
        </w:rPr>
        <w:lastRenderedPageBreak/>
        <w:t xml:space="preserve">Sm = </w:t>
      </w:r>
      <w:proofErr w:type="gramStart"/>
      <w:r w:rsidRPr="002A3FC3">
        <w:rPr>
          <w:lang w:val="en-US"/>
        </w:rPr>
        <w:t>( 2</w:t>
      </w:r>
      <w:proofErr w:type="gramEnd"/>
      <w:r w:rsidRPr="002A3FC3">
        <w:rPr>
          <w:lang w:val="en-US"/>
        </w:rPr>
        <w:t xml:space="preserve"> / ( n + 1 ) )</w:t>
      </w:r>
    </w:p>
    <w:p w:rsidR="002A3FC3" w:rsidRDefault="002A3FC3" w:rsidP="002A3FC3">
      <w:pPr>
        <w:pStyle w:val="a"/>
        <w:numPr>
          <w:ilvl w:val="0"/>
          <w:numId w:val="0"/>
        </w:numPr>
        <w:ind w:left="749"/>
        <w:rPr>
          <w:lang w:val="en-US"/>
        </w:rPr>
      </w:pPr>
      <w:r w:rsidRPr="002A3FC3">
        <w:rPr>
          <w:lang w:val="en-US"/>
        </w:rPr>
        <w:t>and finally, calculate the EMA using the formula:</w:t>
      </w:r>
    </w:p>
    <w:p w:rsidR="002A3FC3" w:rsidRPr="002A3FC3" w:rsidRDefault="002A3FC3" w:rsidP="002A3FC3">
      <w:pPr>
        <w:pStyle w:val="a"/>
        <w:numPr>
          <w:ilvl w:val="0"/>
          <w:numId w:val="0"/>
        </w:numPr>
        <w:ind w:left="749"/>
        <w:rPr>
          <w:lang w:val="en-US"/>
        </w:rPr>
      </w:pPr>
      <w:r w:rsidRPr="002A3FC3">
        <w:rPr>
          <w:lang w:val="en-US"/>
        </w:rPr>
        <w:t xml:space="preserve">EMA = </w:t>
      </w:r>
      <w:proofErr w:type="gramStart"/>
      <w:r w:rsidRPr="002A3FC3">
        <w:rPr>
          <w:lang w:val="en-US"/>
        </w:rPr>
        <w:t>( price</w:t>
      </w:r>
      <w:proofErr w:type="gramEnd"/>
      <w:r w:rsidRPr="002A3FC3">
        <w:rPr>
          <w:lang w:val="en-US"/>
        </w:rPr>
        <w:t xml:space="preserve"> - previous EMA ) x Sm + previous EMA</w:t>
      </w:r>
    </w:p>
    <w:p w:rsidR="002A3FC3" w:rsidRDefault="002A3FC3" w:rsidP="002A3FC3">
      <w:pPr>
        <w:pStyle w:val="a"/>
        <w:numPr>
          <w:ilvl w:val="0"/>
          <w:numId w:val="0"/>
        </w:numPr>
        <w:ind w:left="749"/>
        <w:rPr>
          <w:lang w:val="en-US"/>
        </w:rPr>
      </w:pPr>
      <w:r>
        <w:rPr>
          <w:rFonts w:hint="eastAsia"/>
          <w:lang w:val="en-US"/>
        </w:rPr>
        <w:t>T</w:t>
      </w:r>
      <w:r>
        <w:rPr>
          <w:lang w:val="en-US"/>
        </w:rPr>
        <w:t>he Brown line in Figure shows a 50-day EMA of AAPL</w:t>
      </w:r>
      <w:r w:rsidR="00CE0305">
        <w:rPr>
          <w:lang w:val="en-US"/>
        </w:rPr>
        <w:t>.</w:t>
      </w:r>
    </w:p>
    <w:p w:rsidR="00CE0305" w:rsidRDefault="00CE0305" w:rsidP="00CE0305">
      <w:pPr>
        <w:pStyle w:val="4"/>
        <w:rPr>
          <w:rFonts w:hint="eastAsia"/>
          <w:lang w:val="en-US"/>
        </w:rPr>
      </w:pPr>
      <w:r>
        <w:rPr>
          <w:rFonts w:hint="eastAsia"/>
          <w:lang w:val="en-US"/>
        </w:rPr>
        <w:t>C</w:t>
      </w:r>
      <w:r>
        <w:rPr>
          <w:lang w:val="en-US"/>
        </w:rPr>
        <w:t>ommodity Channel Index (CCI)</w:t>
      </w:r>
    </w:p>
    <w:p w:rsidR="002A3FC3" w:rsidRDefault="00CE0305" w:rsidP="002A3FC3">
      <w:pPr>
        <w:rPr>
          <w:lang w:val="en-US"/>
        </w:rPr>
      </w:pPr>
      <w:r w:rsidRPr="00CE0305">
        <w:rPr>
          <w:lang w:val="en-US"/>
        </w:rPr>
        <w:t>The Commodity Channel Index (CCI) is a leading oscillating momentum indicator that was developed by Donald Lambert to identify cyclical turns in commodities but can also be used on securities and bonds as well. The CCI is a comparison of the typical price (TP) and a simple moving average (SMA) of the typical price (SMATP) and is expressed as an oscillating percentage that can exceed -100% and 100%. It can be used to predict a price reversal, and to determine overbought or oversold conditions.</w:t>
      </w:r>
    </w:p>
    <w:p w:rsidR="00CE0305" w:rsidRDefault="00CE0305" w:rsidP="00CE0305">
      <w:pPr>
        <w:rPr>
          <w:lang w:val="en-US"/>
        </w:rPr>
      </w:pPr>
      <w:r>
        <w:rPr>
          <w:rFonts w:hint="eastAsia"/>
          <w:lang w:val="en-US"/>
        </w:rPr>
        <w:t>T</w:t>
      </w:r>
      <w:r>
        <w:rPr>
          <w:lang w:val="en-US"/>
        </w:rPr>
        <w:t xml:space="preserve">here are 4 steps to calculate the CCI: </w:t>
      </w:r>
      <w:r w:rsidRPr="00CE0305">
        <w:rPr>
          <w:lang w:val="en-US"/>
        </w:rPr>
        <w:t xml:space="preserve">First, calculate the last period's Typical Price (TP) which is </w:t>
      </w:r>
      <w:proofErr w:type="gramStart"/>
      <w:r w:rsidRPr="00CE0305">
        <w:rPr>
          <w:lang w:val="en-US"/>
        </w:rPr>
        <w:t>( H</w:t>
      </w:r>
      <w:proofErr w:type="gramEnd"/>
      <w:r w:rsidRPr="00CE0305">
        <w:rPr>
          <w:lang w:val="en-US"/>
        </w:rPr>
        <w:t xml:space="preserve"> + L + C ) / 3 where H = high, L = low, and C = close.</w:t>
      </w:r>
      <w:r>
        <w:rPr>
          <w:lang w:val="en-US"/>
        </w:rPr>
        <w:t xml:space="preserve"> </w:t>
      </w:r>
      <w:r w:rsidRPr="00CE0305">
        <w:rPr>
          <w:lang w:val="en-US"/>
        </w:rPr>
        <w:t>Seconds, calculate the Simple Moving Average of the TP (SMATP) for the period of the CCI (i.e., 20 periods for a 20-period CCI).</w:t>
      </w:r>
      <w:r>
        <w:rPr>
          <w:lang w:val="en-US"/>
        </w:rPr>
        <w:t xml:space="preserve"> </w:t>
      </w:r>
      <w:r w:rsidRPr="00CE0305">
        <w:rPr>
          <w:lang w:val="en-US"/>
        </w:rPr>
        <w:t>Third, calculate the Mean Deviation which is the sum of the difference between the last period's SMATP and the typical price for each period of the CCI periods divided by the number of periods.</w:t>
      </w:r>
      <w:r>
        <w:rPr>
          <w:rFonts w:hint="eastAsia"/>
          <w:lang w:val="en-US"/>
        </w:rPr>
        <w:t xml:space="preserve"> </w:t>
      </w:r>
      <w:r w:rsidRPr="00CE0305">
        <w:rPr>
          <w:lang w:val="en-US"/>
        </w:rPr>
        <w:t>Finally, calculate the CCI using the formula:</w:t>
      </w:r>
      <w:r>
        <w:rPr>
          <w:lang w:val="en-US"/>
        </w:rPr>
        <w:t xml:space="preserve"> </w:t>
      </w:r>
      <w:r w:rsidRPr="00CE0305">
        <w:rPr>
          <w:lang w:val="en-US"/>
        </w:rPr>
        <w:t xml:space="preserve">CCI = </w:t>
      </w:r>
      <w:proofErr w:type="gramStart"/>
      <w:r w:rsidRPr="00CE0305">
        <w:rPr>
          <w:lang w:val="en-US"/>
        </w:rPr>
        <w:t>( TP</w:t>
      </w:r>
      <w:proofErr w:type="gramEnd"/>
      <w:r w:rsidRPr="00CE0305">
        <w:rPr>
          <w:lang w:val="en-US"/>
        </w:rPr>
        <w:t xml:space="preserve"> - SMATP ) / ( 0.015 x Mean Deviation )</w:t>
      </w:r>
    </w:p>
    <w:p w:rsidR="00CE0305" w:rsidRDefault="00CE0305" w:rsidP="00CE0305">
      <w:pPr>
        <w:rPr>
          <w:lang w:val="en-US"/>
        </w:rPr>
      </w:pPr>
      <w:r>
        <w:rPr>
          <w:rFonts w:hint="eastAsia"/>
          <w:lang w:val="en-US"/>
        </w:rPr>
        <w:t>F</w:t>
      </w:r>
      <w:r>
        <w:rPr>
          <w:lang w:val="en-US"/>
        </w:rPr>
        <w:t>igure 6 shows the CCI of AAPL.</w:t>
      </w:r>
    </w:p>
    <w:p w:rsidR="00CE0305" w:rsidRDefault="00CE0305" w:rsidP="00CE0305">
      <w:pPr>
        <w:jc w:val="center"/>
        <w:rPr>
          <w:lang w:val="en-US"/>
        </w:rPr>
      </w:pPr>
      <w:r w:rsidRPr="00CE0305">
        <w:rPr>
          <w:lang w:val="en-US"/>
        </w:rPr>
        <w:drawing>
          <wp:inline distT="0" distB="0" distL="0" distR="0" wp14:anchorId="0D2A9070" wp14:editId="055CE7FB">
            <wp:extent cx="5860415" cy="3121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0415" cy="3121025"/>
                    </a:xfrm>
                    <a:prstGeom prst="rect">
                      <a:avLst/>
                    </a:prstGeom>
                  </pic:spPr>
                </pic:pic>
              </a:graphicData>
            </a:graphic>
          </wp:inline>
        </w:drawing>
      </w:r>
    </w:p>
    <w:p w:rsidR="00CE0305" w:rsidRPr="00CE0305" w:rsidRDefault="00CE0305" w:rsidP="00CE0305">
      <w:pPr>
        <w:jc w:val="center"/>
        <w:rPr>
          <w:rFonts w:hint="eastAsia"/>
          <w:lang w:val="en-US"/>
        </w:rPr>
      </w:pPr>
      <w:r>
        <w:rPr>
          <w:rFonts w:hint="eastAsia"/>
          <w:lang w:val="en-US"/>
        </w:rPr>
        <w:t>F</w:t>
      </w:r>
      <w:r>
        <w:rPr>
          <w:lang w:val="en-US"/>
        </w:rPr>
        <w:t>igure 6. CCI of AAPL from 2/6/1018 to 2/12/2019</w:t>
      </w:r>
    </w:p>
    <w:p w:rsidR="00D8082A" w:rsidRDefault="00D8082A" w:rsidP="00776C6F">
      <w:pPr>
        <w:pStyle w:val="2"/>
        <w:rPr>
          <w:lang w:val="en-US"/>
        </w:rPr>
      </w:pPr>
      <w:r>
        <w:rPr>
          <w:rFonts w:hint="eastAsia"/>
          <w:lang w:val="en-US"/>
        </w:rPr>
        <w:lastRenderedPageBreak/>
        <w:t>Patterns</w:t>
      </w:r>
    </w:p>
    <w:p w:rsidR="00ED3263" w:rsidRPr="00ED3263" w:rsidRDefault="00ED3263" w:rsidP="00ED3263">
      <w:pPr>
        <w:rPr>
          <w:rFonts w:hint="eastAsia"/>
          <w:lang w:val="en-US"/>
        </w:rPr>
      </w:pPr>
      <w:r w:rsidRPr="00ED3263">
        <w:rPr>
          <w:lang w:val="en-US"/>
        </w:rPr>
        <w:t>Technical analysts often study stock charts for recurring price patterns, or stock chart formations, that appear on price charts on fairly a regular basis. These recurring chart patterns are one of the key elements of technical analysis and can be used on their own or as confirmation for signals from technical indicators. They are based, by and large, on trend lines</w:t>
      </w:r>
      <w:r>
        <w:rPr>
          <w:lang w:val="en-US"/>
        </w:rPr>
        <w:t>.</w:t>
      </w:r>
    </w:p>
    <w:p w:rsidR="001F41BA" w:rsidRDefault="00ED3263" w:rsidP="00ED3263">
      <w:pPr>
        <w:rPr>
          <w:rFonts w:hint="eastAsia"/>
          <w:lang w:val="en-US"/>
        </w:rPr>
      </w:pPr>
      <w:r w:rsidRPr="00ED3263">
        <w:rPr>
          <w:lang w:val="en-US"/>
        </w:rPr>
        <w:t>Chart patterns can be based on any price chart of any time-frame, and usually provide clear entry and exit signals, as well as price projections, stop levels and profit targets. Most patterns fall into two categories: continuation patterns and reversal patterns, but some are both continuation and reversal patterns, depending on the price breakout.</w:t>
      </w:r>
    </w:p>
    <w:p w:rsidR="001F41BA" w:rsidRDefault="001F41BA" w:rsidP="001F41BA">
      <w:pPr>
        <w:pStyle w:val="4"/>
        <w:rPr>
          <w:lang w:val="en-US"/>
        </w:rPr>
      </w:pPr>
      <w:r>
        <w:rPr>
          <w:rFonts w:hint="eastAsia"/>
          <w:lang w:val="en-US"/>
        </w:rPr>
        <w:t>H</w:t>
      </w:r>
      <w:r>
        <w:rPr>
          <w:lang w:val="en-US"/>
        </w:rPr>
        <w:t>ead and shoulders pattern</w:t>
      </w:r>
    </w:p>
    <w:p w:rsidR="001F41BA" w:rsidRPr="001F41BA" w:rsidRDefault="001F41BA" w:rsidP="001F41BA">
      <w:pPr>
        <w:rPr>
          <w:lang w:val="en-US"/>
        </w:rPr>
      </w:pPr>
      <w:r w:rsidRPr="001F41BA">
        <w:rPr>
          <w:lang w:val="en-US"/>
        </w:rPr>
        <w:t>The Head and Shoulders pattern is one of the most reliable trend reversal patterns and is usually seen in uptrends, where it is also referred to as Head and Shoulders Top, though they can appear in downtrends as well, where they are also referred to as Head and Shoulders Bottom or Inverse Head and Shoulders. As they are trend reversal patterns, the Head and Shoulders patterns requires the presence of an existing trend.</w:t>
      </w:r>
    </w:p>
    <w:p w:rsidR="001F41BA" w:rsidRPr="001F41BA" w:rsidRDefault="001F41BA" w:rsidP="001F41BA">
      <w:pPr>
        <w:rPr>
          <w:rFonts w:hint="eastAsia"/>
          <w:lang w:val="en-US"/>
        </w:rPr>
      </w:pPr>
      <w:r>
        <w:rPr>
          <w:lang w:val="en-US"/>
        </w:rPr>
        <w:t xml:space="preserve">Figure 7 shows the head and shoulders pattern I found </w:t>
      </w:r>
      <w:r w:rsidR="00790772">
        <w:rPr>
          <w:lang w:val="en-US"/>
        </w:rPr>
        <w:t>of AAPL</w:t>
      </w:r>
    </w:p>
    <w:p w:rsidR="001F41BA" w:rsidRDefault="001F41BA" w:rsidP="00790772">
      <w:pPr>
        <w:jc w:val="center"/>
        <w:rPr>
          <w:lang w:val="en-US"/>
        </w:rPr>
      </w:pPr>
      <w:r w:rsidRPr="001F41BA">
        <w:rPr>
          <w:lang w:val="en-US"/>
        </w:rPr>
        <w:drawing>
          <wp:inline distT="0" distB="0" distL="0" distR="0" wp14:anchorId="0D2D689A" wp14:editId="7F473CCF">
            <wp:extent cx="5860415" cy="31965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0415" cy="3196590"/>
                    </a:xfrm>
                    <a:prstGeom prst="rect">
                      <a:avLst/>
                    </a:prstGeom>
                  </pic:spPr>
                </pic:pic>
              </a:graphicData>
            </a:graphic>
          </wp:inline>
        </w:drawing>
      </w:r>
    </w:p>
    <w:p w:rsidR="00790772" w:rsidRDefault="00790772" w:rsidP="00790772">
      <w:pPr>
        <w:jc w:val="center"/>
        <w:rPr>
          <w:lang w:val="en-US"/>
        </w:rPr>
      </w:pPr>
      <w:r>
        <w:rPr>
          <w:rFonts w:hint="eastAsia"/>
          <w:lang w:val="en-US"/>
        </w:rPr>
        <w:t>F</w:t>
      </w:r>
      <w:r>
        <w:rPr>
          <w:lang w:val="en-US"/>
        </w:rPr>
        <w:t>igure 7. Head and shoulders pattern of AAPL from 8/26/2013 to 5/16/2017</w:t>
      </w:r>
    </w:p>
    <w:p w:rsidR="00790772" w:rsidRDefault="00790772" w:rsidP="00790772">
      <w:pPr>
        <w:pStyle w:val="4"/>
        <w:rPr>
          <w:lang w:val="en-US"/>
        </w:rPr>
      </w:pPr>
      <w:r>
        <w:rPr>
          <w:rFonts w:hint="eastAsia"/>
          <w:lang w:val="en-US"/>
        </w:rPr>
        <w:lastRenderedPageBreak/>
        <w:t>Pennant</w:t>
      </w:r>
      <w:r>
        <w:rPr>
          <w:lang w:val="en-US"/>
        </w:rPr>
        <w:t xml:space="preserve"> </w:t>
      </w:r>
      <w:r>
        <w:rPr>
          <w:rFonts w:hint="eastAsia"/>
          <w:lang w:val="en-US"/>
        </w:rPr>
        <w:t>patterns</w:t>
      </w:r>
    </w:p>
    <w:p w:rsidR="00790772" w:rsidRDefault="00790772" w:rsidP="00790772">
      <w:pPr>
        <w:rPr>
          <w:lang w:val="en-US"/>
        </w:rPr>
      </w:pPr>
      <w:r w:rsidRPr="00790772">
        <w:rPr>
          <w:lang w:val="en-US"/>
        </w:rPr>
        <w:t>The pennant graphical price model is a minor, short-term, trend continuation pattern that shows the previous direction will prevail in the future after its formation. As for the daily chart the pattern is generally formed within a week.</w:t>
      </w:r>
    </w:p>
    <w:p w:rsidR="00790772" w:rsidRDefault="00790772" w:rsidP="00790772">
      <w:pPr>
        <w:rPr>
          <w:lang w:val="en-US"/>
        </w:rPr>
      </w:pPr>
      <w:r w:rsidRPr="00790772">
        <w:rPr>
          <w:lang w:val="en-US"/>
        </w:rPr>
        <w:t>This pattern is represented by two converging trendlines, support is upward sloping and resistance is downward sloping, visually forming a triangle, which conclude price fluctuations within. The pattern is often characterized by a sharp price entering after intensive movement.</w:t>
      </w:r>
    </w:p>
    <w:p w:rsidR="009649F2" w:rsidRDefault="009649F2" w:rsidP="00790772">
      <w:pPr>
        <w:rPr>
          <w:lang w:val="en-US"/>
        </w:rPr>
      </w:pPr>
      <w:r>
        <w:rPr>
          <w:rFonts w:hint="eastAsia"/>
          <w:lang w:val="en-US"/>
        </w:rPr>
        <w:t>Figure</w:t>
      </w:r>
      <w:r>
        <w:rPr>
          <w:lang w:val="en-US"/>
        </w:rPr>
        <w:t xml:space="preserve"> 8 </w:t>
      </w:r>
      <w:r>
        <w:rPr>
          <w:rFonts w:hint="eastAsia"/>
          <w:lang w:val="en-US"/>
        </w:rPr>
        <w:t>sho</w:t>
      </w:r>
      <w:r>
        <w:rPr>
          <w:lang w:val="en-US"/>
        </w:rPr>
        <w:t xml:space="preserve">ws a pennant pattern I found of AAPL history. The black shape is the pennant. And purple arrow points the sell signal of this pattern. </w:t>
      </w:r>
    </w:p>
    <w:p w:rsidR="009649F2" w:rsidRDefault="009649F2" w:rsidP="009649F2">
      <w:pPr>
        <w:jc w:val="center"/>
        <w:rPr>
          <w:lang w:val="en-US"/>
        </w:rPr>
      </w:pPr>
      <w:r w:rsidRPr="009649F2">
        <w:rPr>
          <w:lang w:val="en-US"/>
        </w:rPr>
        <w:drawing>
          <wp:inline distT="0" distB="0" distL="0" distR="0" wp14:anchorId="0A770507" wp14:editId="4C7949ED">
            <wp:extent cx="5499100" cy="3365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100" cy="3365500"/>
                    </a:xfrm>
                    <a:prstGeom prst="rect">
                      <a:avLst/>
                    </a:prstGeom>
                  </pic:spPr>
                </pic:pic>
              </a:graphicData>
            </a:graphic>
          </wp:inline>
        </w:drawing>
      </w:r>
    </w:p>
    <w:p w:rsidR="000D6F4B" w:rsidRDefault="009649F2" w:rsidP="009649F2">
      <w:pPr>
        <w:jc w:val="center"/>
        <w:rPr>
          <w:lang w:val="en-US"/>
        </w:rPr>
      </w:pPr>
      <w:r>
        <w:rPr>
          <w:rFonts w:hint="eastAsia"/>
          <w:lang w:val="en-US"/>
        </w:rPr>
        <w:t>F</w:t>
      </w:r>
      <w:r>
        <w:rPr>
          <w:lang w:val="en-US"/>
        </w:rPr>
        <w:t>igure 8. Pennant pattern of AAPL from 6/17/2015 to 12/16/2015</w:t>
      </w:r>
    </w:p>
    <w:p w:rsidR="000D6F4B" w:rsidRDefault="000D6F4B" w:rsidP="000D6F4B">
      <w:pPr>
        <w:rPr>
          <w:lang w:val="en-US"/>
        </w:rPr>
      </w:pPr>
      <w:r>
        <w:rPr>
          <w:lang w:val="en-US"/>
        </w:rPr>
        <w:br w:type="page"/>
      </w:r>
    </w:p>
    <w:p w:rsidR="009649F2" w:rsidRPr="00790772" w:rsidRDefault="009649F2" w:rsidP="009649F2">
      <w:pPr>
        <w:jc w:val="center"/>
        <w:rPr>
          <w:rFonts w:hint="eastAsia"/>
          <w:lang w:val="en-US"/>
        </w:rPr>
      </w:pPr>
    </w:p>
    <w:bookmarkStart w:id="17" w:name="OLE_LINK38" w:displacedByCustomXml="next"/>
    <w:bookmarkStart w:id="18" w:name="OLE_LINK37" w:displacedByCustomXml="next"/>
    <w:sdt>
      <w:sdtPr>
        <w:rPr>
          <w:lang w:val="zh-CN"/>
        </w:rPr>
        <w:id w:val="-1837221677"/>
        <w:docPartObj>
          <w:docPartGallery w:val="Bibliographies"/>
          <w:docPartUnique/>
        </w:docPartObj>
      </w:sdtPr>
      <w:sdtEndPr>
        <w:rPr>
          <w:rFonts w:asciiTheme="minorHAnsi" w:eastAsiaTheme="minorEastAsia" w:hAnsiTheme="minorHAnsi" w:cstheme="minorBidi"/>
          <w:b/>
          <w:bCs/>
          <w:sz w:val="24"/>
          <w:szCs w:val="24"/>
          <w:lang w:val="en-GB"/>
        </w:rPr>
      </w:sdtEndPr>
      <w:sdtContent>
        <w:bookmarkEnd w:id="18" w:displacedByCustomXml="prev"/>
        <w:bookmarkEnd w:id="17" w:displacedByCustomXml="prev"/>
        <w:p w:rsidR="00A62218" w:rsidRPr="000D6F4B" w:rsidRDefault="00A62218" w:rsidP="00A62218">
          <w:pPr>
            <w:pStyle w:val="1"/>
            <w:rPr>
              <w:rFonts w:hint="eastAsia"/>
              <w:lang w:val="zh-CN"/>
            </w:rPr>
          </w:pPr>
          <w:r>
            <w:rPr>
              <w:lang w:val="en-US"/>
            </w:rPr>
            <w:t>Reference</w:t>
          </w:r>
        </w:p>
        <w:p w:rsidR="00D8082A" w:rsidRDefault="00A62218" w:rsidP="00F04E3F">
          <w:pPr>
            <w:pStyle w:val="afd"/>
            <w:ind w:left="720" w:hanging="720"/>
            <w:rPr>
              <w:rFonts w:hint="eastAsia"/>
            </w:rPr>
          </w:pPr>
          <w:r>
            <w:rPr>
              <w:rFonts w:hint="eastAsia"/>
            </w:rPr>
            <w:t>[</w:t>
          </w:r>
          <w:r>
            <w:t>1]</w:t>
          </w:r>
          <w:r w:rsidR="00F04E3F">
            <w:t xml:space="preserve"> </w:t>
          </w:r>
          <w:r w:rsidR="00D8082A">
            <w:t xml:space="preserve">Apple Inc. stock </w:t>
          </w:r>
        </w:p>
        <w:p w:rsidR="00F04E3F" w:rsidRPr="00F04E3F" w:rsidRDefault="00F04E3F" w:rsidP="00D8082A">
          <w:pPr>
            <w:pStyle w:val="afd"/>
            <w:ind w:left="720"/>
            <w:rPr>
              <w:rFonts w:hint="eastAsia"/>
            </w:rPr>
          </w:pPr>
          <w:r w:rsidRPr="00F04E3F">
            <w:t>https://finance.yahoo.com/chart/AAPL</w:t>
          </w:r>
        </w:p>
        <w:p w:rsidR="00D8082A" w:rsidRDefault="00A62218" w:rsidP="00A62218">
          <w:pPr>
            <w:pStyle w:val="afd"/>
            <w:ind w:left="720" w:hanging="720"/>
          </w:pPr>
          <w:r>
            <w:t>[2]</w:t>
          </w:r>
          <w:r w:rsidR="00F04E3F">
            <w:t xml:space="preserve"> </w:t>
          </w:r>
          <w:r w:rsidR="00D8082A">
            <w:t>trend lines</w:t>
          </w:r>
        </w:p>
        <w:p w:rsidR="00A62218" w:rsidRDefault="00F04E3F" w:rsidP="00D8082A">
          <w:pPr>
            <w:pStyle w:val="afd"/>
            <w:ind w:left="720"/>
          </w:pPr>
          <w:r>
            <w:t xml:space="preserve"> </w:t>
          </w:r>
          <w:r w:rsidRPr="00F04E3F">
            <w:t>https://stockcharts.com/school/doku.php?id=chart_school:chart_analysis:trend_lines</w:t>
          </w:r>
        </w:p>
        <w:p w:rsidR="00D8082A" w:rsidRDefault="00A62218" w:rsidP="00A62218">
          <w:pPr>
            <w:pStyle w:val="afd"/>
            <w:ind w:left="720" w:hanging="720"/>
          </w:pPr>
          <w:r>
            <w:t>[3]</w:t>
          </w:r>
          <w:bookmarkStart w:id="19" w:name="OLE_LINK39"/>
          <w:bookmarkStart w:id="20" w:name="OLE_LINK40"/>
          <w:r w:rsidR="00D8082A">
            <w:t xml:space="preserve"> support and resistance</w:t>
          </w:r>
        </w:p>
        <w:p w:rsidR="00EE43CB" w:rsidRDefault="00D8082A" w:rsidP="00D8082A">
          <w:pPr>
            <w:pStyle w:val="afd"/>
            <w:ind w:left="720"/>
          </w:pPr>
          <w:hyperlink r:id="rId16" w:history="1">
            <w:r w:rsidRPr="00011818">
              <w:rPr>
                <w:rStyle w:val="aff8"/>
              </w:rPr>
              <w:t>https://stockc</w:t>
            </w:r>
            <w:r w:rsidRPr="00011818">
              <w:rPr>
                <w:rStyle w:val="aff8"/>
              </w:rPr>
              <w:t>h</w:t>
            </w:r>
            <w:r w:rsidRPr="00011818">
              <w:rPr>
                <w:rStyle w:val="aff8"/>
              </w:rPr>
              <w:t>arts.com/school/doku.php?id=chart_school:chart_analysis:support_and_resistance</w:t>
            </w:r>
          </w:hyperlink>
          <w:bookmarkEnd w:id="19"/>
          <w:bookmarkEnd w:id="20"/>
        </w:p>
        <w:p w:rsidR="00D8082A" w:rsidRDefault="00EE43CB" w:rsidP="00D8082A">
          <w:pPr>
            <w:pStyle w:val="afd"/>
            <w:ind w:left="720" w:hanging="720"/>
            <w:rPr>
              <w:lang w:val="en-US"/>
            </w:rPr>
          </w:pPr>
          <w:r>
            <w:rPr>
              <w:lang w:val="en-US"/>
            </w:rPr>
            <w:t>[4]</w:t>
          </w:r>
          <w:r w:rsidR="00D8082A">
            <w:rPr>
              <w:lang w:val="en-US"/>
            </w:rPr>
            <w:t xml:space="preserve"> </w:t>
          </w:r>
          <w:r w:rsidR="00D8082A" w:rsidRPr="00D8082A">
            <w:rPr>
              <w:lang w:val="en-US"/>
            </w:rPr>
            <w:t>Technical Indicators</w:t>
          </w:r>
        </w:p>
        <w:p w:rsidR="00D8082A" w:rsidRDefault="00D8082A" w:rsidP="00D8082A">
          <w:pPr>
            <w:pStyle w:val="afd"/>
            <w:ind w:left="720"/>
            <w:rPr>
              <w:lang w:val="en-US"/>
            </w:rPr>
          </w:pPr>
          <w:hyperlink r:id="rId17" w:history="1">
            <w:r w:rsidRPr="00011818">
              <w:rPr>
                <w:rStyle w:val="aff8"/>
                <w:lang w:val="en-US"/>
              </w:rPr>
              <w:t>http://www.chart-formations.com/indicators/default.aspx</w:t>
            </w:r>
          </w:hyperlink>
        </w:p>
        <w:p w:rsidR="00D8082A" w:rsidRDefault="00D8082A" w:rsidP="00D8082A">
          <w:pPr>
            <w:pStyle w:val="afd"/>
            <w:rPr>
              <w:lang w:val="en-US"/>
            </w:rPr>
          </w:pPr>
          <w:r>
            <w:rPr>
              <w:lang w:val="en-US"/>
            </w:rPr>
            <w:t>[5] char-information: chart patterns</w:t>
          </w:r>
        </w:p>
        <w:p w:rsidR="00D8082A" w:rsidRDefault="00D8082A" w:rsidP="00D8082A">
          <w:pPr>
            <w:pStyle w:val="afd"/>
            <w:rPr>
              <w:lang w:val="en-US"/>
            </w:rPr>
          </w:pPr>
          <w:r>
            <w:rPr>
              <w:lang w:val="en-US"/>
            </w:rPr>
            <w:tab/>
          </w:r>
          <w:hyperlink r:id="rId18" w:history="1">
            <w:r w:rsidRPr="00011818">
              <w:rPr>
                <w:rStyle w:val="aff8"/>
                <w:lang w:val="en-US"/>
              </w:rPr>
              <w:t>http://www.chart-formations.com/chart-patterns/default.aspx</w:t>
            </w:r>
          </w:hyperlink>
        </w:p>
        <w:p w:rsidR="00D8082A" w:rsidRDefault="00D8082A" w:rsidP="00D8082A">
          <w:pPr>
            <w:pStyle w:val="afd"/>
            <w:rPr>
              <w:rFonts w:hint="eastAsia"/>
              <w:lang w:val="en-US"/>
            </w:rPr>
          </w:pPr>
          <w:r>
            <w:rPr>
              <w:lang w:val="en-US"/>
            </w:rPr>
            <w:t>[6] Investopedia: tech</w:t>
          </w:r>
          <w:r w:rsidR="00A5189B">
            <w:rPr>
              <w:lang w:val="en-US"/>
            </w:rPr>
            <w:t xml:space="preserve">nical </w:t>
          </w:r>
          <w:r>
            <w:rPr>
              <w:lang w:val="en-US"/>
            </w:rPr>
            <w:t>analysis</w:t>
          </w:r>
        </w:p>
        <w:p w:rsidR="00596EEF" w:rsidRPr="00D8082A" w:rsidRDefault="00D8082A" w:rsidP="00D8082A">
          <w:pPr>
            <w:pStyle w:val="afd"/>
            <w:rPr>
              <w:rFonts w:hint="eastAsia"/>
              <w:lang w:val="en-US"/>
            </w:rPr>
          </w:pPr>
          <w:r>
            <w:rPr>
              <w:lang w:val="en-US"/>
            </w:rPr>
            <w:tab/>
          </w:r>
          <w:r w:rsidRPr="00D8082A">
            <w:rPr>
              <w:lang w:val="en-US"/>
            </w:rPr>
            <w:t>https://www.investopedia.com/university/technical/techanalysis</w:t>
          </w:r>
          <w:r>
            <w:rPr>
              <w:lang w:val="en-US"/>
            </w:rPr>
            <w:t>1</w:t>
          </w:r>
          <w:r w:rsidRPr="00D8082A">
            <w:rPr>
              <w:lang w:val="en-US"/>
            </w:rPr>
            <w:t>.asp</w:t>
          </w:r>
          <w:r w:rsidR="00596EEF">
            <w:fldChar w:fldCharType="begin"/>
          </w:r>
          <w:r w:rsidR="00596EEF">
            <w:instrText>BIBLIOGRAPHY</w:instrText>
          </w:r>
          <w:r w:rsidR="00596EEF">
            <w:fldChar w:fldCharType="separate"/>
          </w:r>
          <w:bookmarkStart w:id="21" w:name="OLE_LINK35"/>
          <w:bookmarkStart w:id="22" w:name="OLE_LINK36"/>
        </w:p>
        <w:bookmarkEnd w:id="21"/>
        <w:bookmarkEnd w:id="22"/>
        <w:p w:rsidR="000D6F4B" w:rsidRDefault="00596EEF" w:rsidP="00596EEF">
          <w:pPr>
            <w:rPr>
              <w:lang w:val="en-US"/>
            </w:rPr>
          </w:pPr>
          <w:r>
            <w:rPr>
              <w:b/>
              <w:bCs/>
            </w:rPr>
            <w:fldChar w:fldCharType="end"/>
          </w:r>
          <w:r w:rsidR="000D6F4B">
            <w:rPr>
              <w:lang w:val="en-US"/>
            </w:rPr>
            <w:t>[7</w:t>
          </w:r>
          <w:r w:rsidR="009649F2" w:rsidRPr="000D6F4B">
            <w:rPr>
              <w:lang w:val="en-US"/>
            </w:rPr>
            <w:t xml:space="preserve">] </w:t>
          </w:r>
          <w:proofErr w:type="spellStart"/>
          <w:r w:rsidR="000D6F4B">
            <w:rPr>
              <w:lang w:val="en-US"/>
            </w:rPr>
            <w:t>IFCmarkets</w:t>
          </w:r>
          <w:proofErr w:type="spellEnd"/>
          <w:r w:rsidR="000D6F4B" w:rsidRPr="000D6F4B">
            <w:rPr>
              <w:lang w:val="en-US"/>
            </w:rPr>
            <w:t>: forex chart pattern</w:t>
          </w:r>
        </w:p>
        <w:p w:rsidR="000D6F4B" w:rsidRPr="000D6F4B" w:rsidRDefault="000D6F4B" w:rsidP="000D6F4B">
          <w:pPr>
            <w:ind w:firstLine="720"/>
            <w:rPr>
              <w:rFonts w:hint="eastAsia"/>
              <w:lang w:val="en-US"/>
            </w:rPr>
          </w:pPr>
          <w:r w:rsidRPr="000D6F4B">
            <w:rPr>
              <w:lang w:val="en-US"/>
            </w:rPr>
            <w:t>https://www.ifcmarkets.com/en/ntx-indicators/patterns</w:t>
          </w:r>
        </w:p>
        <w:p w:rsidR="00596EEF" w:rsidRDefault="00596EEF" w:rsidP="00596EEF"/>
      </w:sdtContent>
    </w:sdt>
    <w:p w:rsidR="004F46F3" w:rsidRDefault="00327A57">
      <w:pPr>
        <w:rPr>
          <w:rFonts w:hint="eastAsia"/>
        </w:rPr>
      </w:pPr>
    </w:p>
    <w:sectPr w:rsidR="004F46F3">
      <w:footerReference w:type="default" r:id="rId19"/>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7A57" w:rsidRDefault="00327A57">
      <w:pPr>
        <w:spacing w:after="0" w:line="240" w:lineRule="auto"/>
      </w:pPr>
      <w:r>
        <w:separator/>
      </w:r>
    </w:p>
  </w:endnote>
  <w:endnote w:type="continuationSeparator" w:id="0">
    <w:p w:rsidR="00327A57" w:rsidRDefault="0032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rsidR="004F46F3" w:rsidRDefault="00327A57">
        <w:pPr>
          <w:pStyle w:val="af7"/>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7A57" w:rsidRDefault="00327A57">
      <w:pPr>
        <w:spacing w:after="0" w:line="240" w:lineRule="auto"/>
      </w:pPr>
      <w:r>
        <w:separator/>
      </w:r>
    </w:p>
  </w:footnote>
  <w:footnote w:type="continuationSeparator" w:id="0">
    <w:p w:rsidR="00327A57" w:rsidRDefault="00327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16200D88"/>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9620E74A">
      <w:start w:val="1"/>
      <w:numFmt w:val="bullet"/>
      <w:lvlText w:val=""/>
      <w:lvlJc w:val="left"/>
      <w:pPr>
        <w:ind w:left="749" w:hanging="259"/>
      </w:pPr>
      <w:rPr>
        <w:rFonts w:ascii="Symbol" w:hAnsi="Symbol" w:hint="default"/>
        <w:color w:val="000000" w:themeColor="text1"/>
        <w:w w:val="100"/>
      </w:rPr>
    </w:lvl>
    <w:lvl w:ilvl="1" w:tplc="C7C6B028" w:tentative="1">
      <w:start w:val="1"/>
      <w:numFmt w:val="bullet"/>
      <w:lvlText w:val="o"/>
      <w:lvlJc w:val="left"/>
      <w:pPr>
        <w:ind w:left="1440" w:hanging="360"/>
      </w:pPr>
      <w:rPr>
        <w:rFonts w:ascii="Courier New" w:hAnsi="Courier New" w:cs="Courier New" w:hint="default"/>
      </w:rPr>
    </w:lvl>
    <w:lvl w:ilvl="2" w:tplc="6F044F5E" w:tentative="1">
      <w:start w:val="1"/>
      <w:numFmt w:val="bullet"/>
      <w:lvlText w:val=""/>
      <w:lvlJc w:val="left"/>
      <w:pPr>
        <w:ind w:left="2160" w:hanging="360"/>
      </w:pPr>
      <w:rPr>
        <w:rFonts w:ascii="Wingdings" w:hAnsi="Wingdings" w:hint="default"/>
      </w:rPr>
    </w:lvl>
    <w:lvl w:ilvl="3" w:tplc="3AF648CA" w:tentative="1">
      <w:start w:val="1"/>
      <w:numFmt w:val="bullet"/>
      <w:lvlText w:val=""/>
      <w:lvlJc w:val="left"/>
      <w:pPr>
        <w:ind w:left="2880" w:hanging="360"/>
      </w:pPr>
      <w:rPr>
        <w:rFonts w:ascii="Symbol" w:hAnsi="Symbol" w:hint="default"/>
      </w:rPr>
    </w:lvl>
    <w:lvl w:ilvl="4" w:tplc="FC8C3A5A" w:tentative="1">
      <w:start w:val="1"/>
      <w:numFmt w:val="bullet"/>
      <w:lvlText w:val="o"/>
      <w:lvlJc w:val="left"/>
      <w:pPr>
        <w:ind w:left="3600" w:hanging="360"/>
      </w:pPr>
      <w:rPr>
        <w:rFonts w:ascii="Courier New" w:hAnsi="Courier New" w:cs="Courier New" w:hint="default"/>
      </w:rPr>
    </w:lvl>
    <w:lvl w:ilvl="5" w:tplc="DD606EC6" w:tentative="1">
      <w:start w:val="1"/>
      <w:numFmt w:val="bullet"/>
      <w:lvlText w:val=""/>
      <w:lvlJc w:val="left"/>
      <w:pPr>
        <w:ind w:left="4320" w:hanging="360"/>
      </w:pPr>
      <w:rPr>
        <w:rFonts w:ascii="Wingdings" w:hAnsi="Wingdings" w:hint="default"/>
      </w:rPr>
    </w:lvl>
    <w:lvl w:ilvl="6" w:tplc="2202EB24" w:tentative="1">
      <w:start w:val="1"/>
      <w:numFmt w:val="bullet"/>
      <w:lvlText w:val=""/>
      <w:lvlJc w:val="left"/>
      <w:pPr>
        <w:ind w:left="5040" w:hanging="360"/>
      </w:pPr>
      <w:rPr>
        <w:rFonts w:ascii="Symbol" w:hAnsi="Symbol" w:hint="default"/>
      </w:rPr>
    </w:lvl>
    <w:lvl w:ilvl="7" w:tplc="876CBFE4" w:tentative="1">
      <w:start w:val="1"/>
      <w:numFmt w:val="bullet"/>
      <w:lvlText w:val="o"/>
      <w:lvlJc w:val="left"/>
      <w:pPr>
        <w:ind w:left="5760" w:hanging="360"/>
      </w:pPr>
      <w:rPr>
        <w:rFonts w:ascii="Courier New" w:hAnsi="Courier New" w:cs="Courier New" w:hint="default"/>
      </w:rPr>
    </w:lvl>
    <w:lvl w:ilvl="8" w:tplc="27FA1570"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C29A22A6">
      <w:start w:val="1"/>
      <w:numFmt w:val="bullet"/>
      <w:lvlText w:val=""/>
      <w:lvlJc w:val="left"/>
      <w:pPr>
        <w:tabs>
          <w:tab w:val="num" w:pos="662"/>
        </w:tabs>
        <w:ind w:left="173" w:firstLine="317"/>
      </w:pPr>
      <w:rPr>
        <w:rFonts w:ascii="Symbol" w:hAnsi="Symbol" w:hint="default"/>
      </w:rPr>
    </w:lvl>
    <w:lvl w:ilvl="1" w:tplc="9DA680AA" w:tentative="1">
      <w:start w:val="1"/>
      <w:numFmt w:val="bullet"/>
      <w:lvlText w:val="o"/>
      <w:lvlJc w:val="left"/>
      <w:pPr>
        <w:ind w:left="1440" w:hanging="360"/>
      </w:pPr>
      <w:rPr>
        <w:rFonts w:ascii="Courier New" w:hAnsi="Courier New" w:cs="Courier New" w:hint="default"/>
      </w:rPr>
    </w:lvl>
    <w:lvl w:ilvl="2" w:tplc="5AE6BDEE" w:tentative="1">
      <w:start w:val="1"/>
      <w:numFmt w:val="bullet"/>
      <w:lvlText w:val=""/>
      <w:lvlJc w:val="left"/>
      <w:pPr>
        <w:ind w:left="2160" w:hanging="360"/>
      </w:pPr>
      <w:rPr>
        <w:rFonts w:ascii="Wingdings" w:hAnsi="Wingdings" w:hint="default"/>
      </w:rPr>
    </w:lvl>
    <w:lvl w:ilvl="3" w:tplc="DEA03EDA" w:tentative="1">
      <w:start w:val="1"/>
      <w:numFmt w:val="bullet"/>
      <w:lvlText w:val=""/>
      <w:lvlJc w:val="left"/>
      <w:pPr>
        <w:ind w:left="2880" w:hanging="360"/>
      </w:pPr>
      <w:rPr>
        <w:rFonts w:ascii="Symbol" w:hAnsi="Symbol" w:hint="default"/>
      </w:rPr>
    </w:lvl>
    <w:lvl w:ilvl="4" w:tplc="8D7095D4" w:tentative="1">
      <w:start w:val="1"/>
      <w:numFmt w:val="bullet"/>
      <w:lvlText w:val="o"/>
      <w:lvlJc w:val="left"/>
      <w:pPr>
        <w:ind w:left="3600" w:hanging="360"/>
      </w:pPr>
      <w:rPr>
        <w:rFonts w:ascii="Courier New" w:hAnsi="Courier New" w:cs="Courier New" w:hint="default"/>
      </w:rPr>
    </w:lvl>
    <w:lvl w:ilvl="5" w:tplc="50EA9038" w:tentative="1">
      <w:start w:val="1"/>
      <w:numFmt w:val="bullet"/>
      <w:lvlText w:val=""/>
      <w:lvlJc w:val="left"/>
      <w:pPr>
        <w:ind w:left="4320" w:hanging="360"/>
      </w:pPr>
      <w:rPr>
        <w:rFonts w:ascii="Wingdings" w:hAnsi="Wingdings" w:hint="default"/>
      </w:rPr>
    </w:lvl>
    <w:lvl w:ilvl="6" w:tplc="4E4E99B2" w:tentative="1">
      <w:start w:val="1"/>
      <w:numFmt w:val="bullet"/>
      <w:lvlText w:val=""/>
      <w:lvlJc w:val="left"/>
      <w:pPr>
        <w:ind w:left="5040" w:hanging="360"/>
      </w:pPr>
      <w:rPr>
        <w:rFonts w:ascii="Symbol" w:hAnsi="Symbol" w:hint="default"/>
      </w:rPr>
    </w:lvl>
    <w:lvl w:ilvl="7" w:tplc="B86A699E" w:tentative="1">
      <w:start w:val="1"/>
      <w:numFmt w:val="bullet"/>
      <w:lvlText w:val="o"/>
      <w:lvlJc w:val="left"/>
      <w:pPr>
        <w:ind w:left="5760" w:hanging="360"/>
      </w:pPr>
      <w:rPr>
        <w:rFonts w:ascii="Courier New" w:hAnsi="Courier New" w:cs="Courier New" w:hint="default"/>
      </w:rPr>
    </w:lvl>
    <w:lvl w:ilvl="8" w:tplc="57782E1E"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A76CD92">
      <w:start w:val="1"/>
      <w:numFmt w:val="bullet"/>
      <w:lvlText w:val=""/>
      <w:lvlJc w:val="left"/>
      <w:pPr>
        <w:ind w:left="662" w:hanging="172"/>
      </w:pPr>
      <w:rPr>
        <w:rFonts w:ascii="Symbol" w:hAnsi="Symbol" w:hint="default"/>
        <w:color w:val="000000" w:themeColor="text1"/>
        <w:w w:val="100"/>
      </w:rPr>
    </w:lvl>
    <w:lvl w:ilvl="1" w:tplc="EAD4733A" w:tentative="1">
      <w:start w:val="1"/>
      <w:numFmt w:val="bullet"/>
      <w:lvlText w:val="o"/>
      <w:lvlJc w:val="left"/>
      <w:pPr>
        <w:ind w:left="1440" w:hanging="360"/>
      </w:pPr>
      <w:rPr>
        <w:rFonts w:ascii="Courier New" w:hAnsi="Courier New" w:cs="Courier New" w:hint="default"/>
      </w:rPr>
    </w:lvl>
    <w:lvl w:ilvl="2" w:tplc="15E8EC78" w:tentative="1">
      <w:start w:val="1"/>
      <w:numFmt w:val="bullet"/>
      <w:lvlText w:val=""/>
      <w:lvlJc w:val="left"/>
      <w:pPr>
        <w:ind w:left="2160" w:hanging="360"/>
      </w:pPr>
      <w:rPr>
        <w:rFonts w:ascii="Wingdings" w:hAnsi="Wingdings" w:hint="default"/>
      </w:rPr>
    </w:lvl>
    <w:lvl w:ilvl="3" w:tplc="628631D4" w:tentative="1">
      <w:start w:val="1"/>
      <w:numFmt w:val="bullet"/>
      <w:lvlText w:val=""/>
      <w:lvlJc w:val="left"/>
      <w:pPr>
        <w:ind w:left="2880" w:hanging="360"/>
      </w:pPr>
      <w:rPr>
        <w:rFonts w:ascii="Symbol" w:hAnsi="Symbol" w:hint="default"/>
      </w:rPr>
    </w:lvl>
    <w:lvl w:ilvl="4" w:tplc="F5D47476" w:tentative="1">
      <w:start w:val="1"/>
      <w:numFmt w:val="bullet"/>
      <w:lvlText w:val="o"/>
      <w:lvlJc w:val="left"/>
      <w:pPr>
        <w:ind w:left="3600" w:hanging="360"/>
      </w:pPr>
      <w:rPr>
        <w:rFonts w:ascii="Courier New" w:hAnsi="Courier New" w:cs="Courier New" w:hint="default"/>
      </w:rPr>
    </w:lvl>
    <w:lvl w:ilvl="5" w:tplc="2DF22386" w:tentative="1">
      <w:start w:val="1"/>
      <w:numFmt w:val="bullet"/>
      <w:lvlText w:val=""/>
      <w:lvlJc w:val="left"/>
      <w:pPr>
        <w:ind w:left="4320" w:hanging="360"/>
      </w:pPr>
      <w:rPr>
        <w:rFonts w:ascii="Wingdings" w:hAnsi="Wingdings" w:hint="default"/>
      </w:rPr>
    </w:lvl>
    <w:lvl w:ilvl="6" w:tplc="34DE94FA" w:tentative="1">
      <w:start w:val="1"/>
      <w:numFmt w:val="bullet"/>
      <w:lvlText w:val=""/>
      <w:lvlJc w:val="left"/>
      <w:pPr>
        <w:ind w:left="5040" w:hanging="360"/>
      </w:pPr>
      <w:rPr>
        <w:rFonts w:ascii="Symbol" w:hAnsi="Symbol" w:hint="default"/>
      </w:rPr>
    </w:lvl>
    <w:lvl w:ilvl="7" w:tplc="B2DC4134" w:tentative="1">
      <w:start w:val="1"/>
      <w:numFmt w:val="bullet"/>
      <w:lvlText w:val="o"/>
      <w:lvlJc w:val="left"/>
      <w:pPr>
        <w:ind w:left="5760" w:hanging="360"/>
      </w:pPr>
      <w:rPr>
        <w:rFonts w:ascii="Courier New" w:hAnsi="Courier New" w:cs="Courier New" w:hint="default"/>
      </w:rPr>
    </w:lvl>
    <w:lvl w:ilvl="8" w:tplc="B88EA768"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971CA9AE">
      <w:start w:val="1"/>
      <w:numFmt w:val="bullet"/>
      <w:pStyle w:val="a"/>
      <w:lvlText w:val=""/>
      <w:lvlJc w:val="left"/>
      <w:pPr>
        <w:tabs>
          <w:tab w:val="num" w:pos="749"/>
        </w:tabs>
        <w:ind w:left="749" w:hanging="259"/>
      </w:pPr>
      <w:rPr>
        <w:rFonts w:ascii="Symbol" w:hAnsi="Symbol" w:hint="default"/>
        <w:color w:val="000000" w:themeColor="text1"/>
        <w:w w:val="100"/>
      </w:rPr>
    </w:lvl>
    <w:lvl w:ilvl="1" w:tplc="2B4A0EE0">
      <w:start w:val="1"/>
      <w:numFmt w:val="bullet"/>
      <w:lvlText w:val="o"/>
      <w:lvlJc w:val="left"/>
      <w:pPr>
        <w:ind w:left="1440" w:hanging="360"/>
      </w:pPr>
      <w:rPr>
        <w:rFonts w:ascii="Courier New" w:hAnsi="Courier New" w:cs="Courier New" w:hint="default"/>
      </w:rPr>
    </w:lvl>
    <w:lvl w:ilvl="2" w:tplc="13A05868" w:tentative="1">
      <w:start w:val="1"/>
      <w:numFmt w:val="bullet"/>
      <w:lvlText w:val=""/>
      <w:lvlJc w:val="left"/>
      <w:pPr>
        <w:ind w:left="2160" w:hanging="360"/>
      </w:pPr>
      <w:rPr>
        <w:rFonts w:ascii="Wingdings" w:hAnsi="Wingdings" w:hint="default"/>
      </w:rPr>
    </w:lvl>
    <w:lvl w:ilvl="3" w:tplc="F5984C3C" w:tentative="1">
      <w:start w:val="1"/>
      <w:numFmt w:val="bullet"/>
      <w:lvlText w:val=""/>
      <w:lvlJc w:val="left"/>
      <w:pPr>
        <w:ind w:left="2880" w:hanging="360"/>
      </w:pPr>
      <w:rPr>
        <w:rFonts w:ascii="Symbol" w:hAnsi="Symbol" w:hint="default"/>
      </w:rPr>
    </w:lvl>
    <w:lvl w:ilvl="4" w:tplc="F47AA3FC" w:tentative="1">
      <w:start w:val="1"/>
      <w:numFmt w:val="bullet"/>
      <w:lvlText w:val="o"/>
      <w:lvlJc w:val="left"/>
      <w:pPr>
        <w:ind w:left="3600" w:hanging="360"/>
      </w:pPr>
      <w:rPr>
        <w:rFonts w:ascii="Courier New" w:hAnsi="Courier New" w:cs="Courier New" w:hint="default"/>
      </w:rPr>
    </w:lvl>
    <w:lvl w:ilvl="5" w:tplc="974EFCAC" w:tentative="1">
      <w:start w:val="1"/>
      <w:numFmt w:val="bullet"/>
      <w:lvlText w:val=""/>
      <w:lvlJc w:val="left"/>
      <w:pPr>
        <w:ind w:left="4320" w:hanging="360"/>
      </w:pPr>
      <w:rPr>
        <w:rFonts w:ascii="Wingdings" w:hAnsi="Wingdings" w:hint="default"/>
      </w:rPr>
    </w:lvl>
    <w:lvl w:ilvl="6" w:tplc="E4C85C50" w:tentative="1">
      <w:start w:val="1"/>
      <w:numFmt w:val="bullet"/>
      <w:lvlText w:val=""/>
      <w:lvlJc w:val="left"/>
      <w:pPr>
        <w:ind w:left="5040" w:hanging="360"/>
      </w:pPr>
      <w:rPr>
        <w:rFonts w:ascii="Symbol" w:hAnsi="Symbol" w:hint="default"/>
      </w:rPr>
    </w:lvl>
    <w:lvl w:ilvl="7" w:tplc="BC2463FC" w:tentative="1">
      <w:start w:val="1"/>
      <w:numFmt w:val="bullet"/>
      <w:lvlText w:val="o"/>
      <w:lvlJc w:val="left"/>
      <w:pPr>
        <w:ind w:left="5760" w:hanging="360"/>
      </w:pPr>
      <w:rPr>
        <w:rFonts w:ascii="Courier New" w:hAnsi="Courier New" w:cs="Courier New" w:hint="default"/>
      </w:rPr>
    </w:lvl>
    <w:lvl w:ilvl="8" w:tplc="57581FF2"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B31A6648">
      <w:start w:val="1"/>
      <w:numFmt w:val="bullet"/>
      <w:lvlText w:val=""/>
      <w:lvlJc w:val="left"/>
      <w:pPr>
        <w:ind w:left="850" w:hanging="360"/>
      </w:pPr>
      <w:rPr>
        <w:rFonts w:ascii="Symbol" w:hAnsi="Symbol" w:hint="default"/>
        <w:color w:val="000000" w:themeColor="text1"/>
        <w:w w:val="100"/>
      </w:rPr>
    </w:lvl>
    <w:lvl w:ilvl="1" w:tplc="40D6E57A" w:tentative="1">
      <w:start w:val="1"/>
      <w:numFmt w:val="bullet"/>
      <w:lvlText w:val="o"/>
      <w:lvlJc w:val="left"/>
      <w:pPr>
        <w:ind w:left="1440" w:hanging="360"/>
      </w:pPr>
      <w:rPr>
        <w:rFonts w:ascii="Courier New" w:hAnsi="Courier New" w:cs="Courier New" w:hint="default"/>
      </w:rPr>
    </w:lvl>
    <w:lvl w:ilvl="2" w:tplc="2EFCDAF0" w:tentative="1">
      <w:start w:val="1"/>
      <w:numFmt w:val="bullet"/>
      <w:lvlText w:val=""/>
      <w:lvlJc w:val="left"/>
      <w:pPr>
        <w:ind w:left="2160" w:hanging="360"/>
      </w:pPr>
      <w:rPr>
        <w:rFonts w:ascii="Wingdings" w:hAnsi="Wingdings" w:hint="default"/>
      </w:rPr>
    </w:lvl>
    <w:lvl w:ilvl="3" w:tplc="D916D45A" w:tentative="1">
      <w:start w:val="1"/>
      <w:numFmt w:val="bullet"/>
      <w:lvlText w:val=""/>
      <w:lvlJc w:val="left"/>
      <w:pPr>
        <w:ind w:left="2880" w:hanging="360"/>
      </w:pPr>
      <w:rPr>
        <w:rFonts w:ascii="Symbol" w:hAnsi="Symbol" w:hint="default"/>
      </w:rPr>
    </w:lvl>
    <w:lvl w:ilvl="4" w:tplc="35A8E75C" w:tentative="1">
      <w:start w:val="1"/>
      <w:numFmt w:val="bullet"/>
      <w:lvlText w:val="o"/>
      <w:lvlJc w:val="left"/>
      <w:pPr>
        <w:ind w:left="3600" w:hanging="360"/>
      </w:pPr>
      <w:rPr>
        <w:rFonts w:ascii="Courier New" w:hAnsi="Courier New" w:cs="Courier New" w:hint="default"/>
      </w:rPr>
    </w:lvl>
    <w:lvl w:ilvl="5" w:tplc="7B66910C" w:tentative="1">
      <w:start w:val="1"/>
      <w:numFmt w:val="bullet"/>
      <w:lvlText w:val=""/>
      <w:lvlJc w:val="left"/>
      <w:pPr>
        <w:ind w:left="4320" w:hanging="360"/>
      </w:pPr>
      <w:rPr>
        <w:rFonts w:ascii="Wingdings" w:hAnsi="Wingdings" w:hint="default"/>
      </w:rPr>
    </w:lvl>
    <w:lvl w:ilvl="6" w:tplc="EB6646EE" w:tentative="1">
      <w:start w:val="1"/>
      <w:numFmt w:val="bullet"/>
      <w:lvlText w:val=""/>
      <w:lvlJc w:val="left"/>
      <w:pPr>
        <w:ind w:left="5040" w:hanging="360"/>
      </w:pPr>
      <w:rPr>
        <w:rFonts w:ascii="Symbol" w:hAnsi="Symbol" w:hint="default"/>
      </w:rPr>
    </w:lvl>
    <w:lvl w:ilvl="7" w:tplc="8B888350" w:tentative="1">
      <w:start w:val="1"/>
      <w:numFmt w:val="bullet"/>
      <w:lvlText w:val="o"/>
      <w:lvlJc w:val="left"/>
      <w:pPr>
        <w:ind w:left="5760" w:hanging="360"/>
      </w:pPr>
      <w:rPr>
        <w:rFonts w:ascii="Courier New" w:hAnsi="Courier New" w:cs="Courier New" w:hint="default"/>
      </w:rPr>
    </w:lvl>
    <w:lvl w:ilvl="8" w:tplc="3D10FBDC" w:tentative="1">
      <w:start w:val="1"/>
      <w:numFmt w:val="bullet"/>
      <w:lvlText w:val=""/>
      <w:lvlJc w:val="left"/>
      <w:pPr>
        <w:ind w:left="6480" w:hanging="360"/>
      </w:pPr>
      <w:rPr>
        <w:rFonts w:ascii="Wingdings" w:hAnsi="Wingdings" w:hint="default"/>
      </w:rPr>
    </w:lvl>
  </w:abstractNum>
  <w:abstractNum w:abstractNumId="15" w15:restartNumberingAfterBreak="0">
    <w:nsid w:val="6C901CF9"/>
    <w:multiLevelType w:val="hybridMultilevel"/>
    <w:tmpl w:val="2F4A75D8"/>
    <w:lvl w:ilvl="0" w:tplc="634E3DDE">
      <w:start w:val="1"/>
      <w:numFmt w:val="decimal"/>
      <w:pStyle w:val="a0"/>
      <w:lvlText w:val="%1."/>
      <w:lvlJc w:val="left"/>
      <w:pPr>
        <w:ind w:left="720" w:hanging="360"/>
      </w:pPr>
    </w:lvl>
    <w:lvl w:ilvl="1" w:tplc="F2C86574">
      <w:start w:val="1"/>
      <w:numFmt w:val="lowerLetter"/>
      <w:lvlText w:val="%2."/>
      <w:lvlJc w:val="left"/>
      <w:pPr>
        <w:ind w:left="1440" w:hanging="360"/>
      </w:pPr>
    </w:lvl>
    <w:lvl w:ilvl="2" w:tplc="9392B55A">
      <w:start w:val="1"/>
      <w:numFmt w:val="lowerRoman"/>
      <w:lvlText w:val="%3."/>
      <w:lvlJc w:val="right"/>
      <w:pPr>
        <w:ind w:left="2160" w:hanging="180"/>
      </w:pPr>
    </w:lvl>
    <w:lvl w:ilvl="3" w:tplc="D3CA9336">
      <w:start w:val="1"/>
      <w:numFmt w:val="decimal"/>
      <w:lvlText w:val="%4."/>
      <w:lvlJc w:val="left"/>
      <w:pPr>
        <w:ind w:left="2880" w:hanging="360"/>
      </w:pPr>
    </w:lvl>
    <w:lvl w:ilvl="4" w:tplc="29842DC6" w:tentative="1">
      <w:start w:val="1"/>
      <w:numFmt w:val="lowerLetter"/>
      <w:lvlText w:val="%5."/>
      <w:lvlJc w:val="left"/>
      <w:pPr>
        <w:ind w:left="3600" w:hanging="360"/>
      </w:pPr>
    </w:lvl>
    <w:lvl w:ilvl="5" w:tplc="788E5D62" w:tentative="1">
      <w:start w:val="1"/>
      <w:numFmt w:val="lowerRoman"/>
      <w:lvlText w:val="%6."/>
      <w:lvlJc w:val="right"/>
      <w:pPr>
        <w:ind w:left="4320" w:hanging="180"/>
      </w:pPr>
    </w:lvl>
    <w:lvl w:ilvl="6" w:tplc="FE3E25B6" w:tentative="1">
      <w:start w:val="1"/>
      <w:numFmt w:val="decimal"/>
      <w:lvlText w:val="%7."/>
      <w:lvlJc w:val="left"/>
      <w:pPr>
        <w:ind w:left="5040" w:hanging="360"/>
      </w:pPr>
    </w:lvl>
    <w:lvl w:ilvl="7" w:tplc="42CAD36A" w:tentative="1">
      <w:start w:val="1"/>
      <w:numFmt w:val="lowerLetter"/>
      <w:lvlText w:val="%8."/>
      <w:lvlJc w:val="left"/>
      <w:pPr>
        <w:ind w:left="5760" w:hanging="360"/>
      </w:pPr>
    </w:lvl>
    <w:lvl w:ilvl="8" w:tplc="199AB142"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78"/>
    <w:rsid w:val="000D6F4B"/>
    <w:rsid w:val="001F41BA"/>
    <w:rsid w:val="002A3FC3"/>
    <w:rsid w:val="00327A57"/>
    <w:rsid w:val="00596EEF"/>
    <w:rsid w:val="005F079C"/>
    <w:rsid w:val="00613743"/>
    <w:rsid w:val="00776C6F"/>
    <w:rsid w:val="00790772"/>
    <w:rsid w:val="00791DE7"/>
    <w:rsid w:val="00851E8F"/>
    <w:rsid w:val="008E4628"/>
    <w:rsid w:val="009649F2"/>
    <w:rsid w:val="00A5189B"/>
    <w:rsid w:val="00A62218"/>
    <w:rsid w:val="00AA4025"/>
    <w:rsid w:val="00BC1C71"/>
    <w:rsid w:val="00CE0305"/>
    <w:rsid w:val="00D46A78"/>
    <w:rsid w:val="00D8082A"/>
    <w:rsid w:val="00DC3495"/>
    <w:rsid w:val="00ED3263"/>
    <w:rsid w:val="00EE43CB"/>
    <w:rsid w:val="00F04E3F"/>
    <w:rsid w:val="00F1474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40A7"/>
  <w15:docId w15:val="{44F839BC-7821-5B41-8B5C-F594C51C5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745ED"/>
    <w:rPr>
      <w:lang w:val="en-GB" w:eastAsia="zh-CN"/>
    </w:rPr>
  </w:style>
  <w:style w:type="paragraph" w:styleId="1">
    <w:name w:val="heading 1"/>
    <w:basedOn w:val="a1"/>
    <w:next w:val="a1"/>
    <w:link w:val="10"/>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2">
    <w:name w:val="heading 2"/>
    <w:basedOn w:val="a1"/>
    <w:next w:val="a1"/>
    <w:link w:val="20"/>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3">
    <w:name w:val="heading 3"/>
    <w:basedOn w:val="a1"/>
    <w:next w:val="a1"/>
    <w:link w:val="30"/>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4">
    <w:name w:val="heading 4"/>
    <w:basedOn w:val="a1"/>
    <w:next w:val="a1"/>
    <w:link w:val="40"/>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5">
    <w:name w:val="heading 5"/>
    <w:basedOn w:val="a1"/>
    <w:next w:val="a1"/>
    <w:link w:val="50"/>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Subtitle"/>
    <w:basedOn w:val="a1"/>
    <w:link w:val="a6"/>
    <w:uiPriority w:val="2"/>
    <w:qFormat/>
    <w:pPr>
      <w:numPr>
        <w:ilvl w:val="1"/>
      </w:numPr>
      <w:spacing w:after="300" w:line="240" w:lineRule="auto"/>
      <w:contextualSpacing/>
    </w:pPr>
    <w:rPr>
      <w:sz w:val="32"/>
    </w:rPr>
  </w:style>
  <w:style w:type="character" w:customStyle="1" w:styleId="a6">
    <w:name w:val="副标题 字符"/>
    <w:basedOn w:val="a2"/>
    <w:link w:val="a5"/>
    <w:uiPriority w:val="2"/>
    <w:rPr>
      <w:rFonts w:eastAsiaTheme="minorEastAsia"/>
      <w:sz w:val="32"/>
    </w:rPr>
  </w:style>
  <w:style w:type="paragraph" w:styleId="a7">
    <w:name w:val="Title"/>
    <w:basedOn w:val="a1"/>
    <w:link w:val="a8"/>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a8">
    <w:name w:val="标题 字符"/>
    <w:basedOn w:val="a2"/>
    <w:link w:val="a7"/>
    <w:uiPriority w:val="1"/>
    <w:rPr>
      <w:rFonts w:asciiTheme="majorHAnsi" w:eastAsiaTheme="majorEastAsia" w:hAnsiTheme="majorHAnsi" w:cstheme="majorBidi"/>
      <w:kern w:val="28"/>
      <w:sz w:val="56"/>
      <w:szCs w:val="56"/>
    </w:rPr>
  </w:style>
  <w:style w:type="character" w:customStyle="1" w:styleId="10">
    <w:name w:val="标题 1 字符"/>
    <w:basedOn w:val="a2"/>
    <w:link w:val="1"/>
    <w:uiPriority w:val="9"/>
    <w:rPr>
      <w:rFonts w:asciiTheme="majorHAnsi" w:eastAsiaTheme="majorEastAsia" w:hAnsiTheme="majorHAnsi" w:cstheme="majorBidi"/>
      <w:sz w:val="42"/>
      <w:szCs w:val="32"/>
    </w:rPr>
  </w:style>
  <w:style w:type="paragraph" w:styleId="a0">
    <w:name w:val="List Number"/>
    <w:basedOn w:val="a1"/>
    <w:uiPriority w:val="13"/>
    <w:qFormat/>
    <w:pPr>
      <w:numPr>
        <w:numId w:val="16"/>
      </w:numPr>
    </w:pPr>
  </w:style>
  <w:style w:type="paragraph" w:styleId="a9">
    <w:name w:val="Intense Quote"/>
    <w:basedOn w:val="a1"/>
    <w:next w:val="a1"/>
    <w:link w:val="aa"/>
    <w:uiPriority w:val="30"/>
    <w:semiHidden/>
    <w:unhideWhenUsed/>
    <w:qFormat/>
    <w:pPr>
      <w:spacing w:before="240"/>
      <w:ind w:left="490" w:right="490"/>
      <w:contextualSpacing/>
    </w:pPr>
    <w:rPr>
      <w:i/>
      <w:iCs/>
      <w:sz w:val="30"/>
    </w:rPr>
  </w:style>
  <w:style w:type="paragraph" w:styleId="ab">
    <w:name w:val="Quote"/>
    <w:basedOn w:val="a1"/>
    <w:next w:val="a1"/>
    <w:link w:val="ac"/>
    <w:uiPriority w:val="29"/>
    <w:qFormat/>
    <w:pPr>
      <w:spacing w:before="240"/>
      <w:ind w:left="490" w:right="490"/>
    </w:pPr>
    <w:rPr>
      <w:i/>
      <w:iCs/>
      <w:color w:val="404040" w:themeColor="text1" w:themeTint="BF"/>
    </w:rPr>
  </w:style>
  <w:style w:type="character" w:customStyle="1" w:styleId="ac">
    <w:name w:val="引用 字符"/>
    <w:basedOn w:val="a2"/>
    <w:link w:val="ab"/>
    <w:uiPriority w:val="29"/>
    <w:rPr>
      <w:i/>
      <w:iCs/>
      <w:color w:val="404040" w:themeColor="text1" w:themeTint="BF"/>
    </w:rPr>
  </w:style>
  <w:style w:type="paragraph" w:styleId="a">
    <w:name w:val="List Bullet"/>
    <w:basedOn w:val="a1"/>
    <w:uiPriority w:val="12"/>
    <w:qFormat/>
    <w:pPr>
      <w:numPr>
        <w:numId w:val="15"/>
      </w:numPr>
    </w:pPr>
  </w:style>
  <w:style w:type="table" w:styleId="ad">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作者"/>
    <w:basedOn w:val="a1"/>
    <w:uiPriority w:val="3"/>
    <w:qFormat/>
    <w:pPr>
      <w:pBdr>
        <w:bottom w:val="single" w:sz="8" w:space="17" w:color="000000" w:themeColor="text1"/>
      </w:pBdr>
      <w:spacing w:after="640" w:line="240" w:lineRule="auto"/>
      <w:contextualSpacing/>
    </w:pPr>
  </w:style>
  <w:style w:type="character" w:customStyle="1" w:styleId="50">
    <w:name w:val="标题 5 字符"/>
    <w:basedOn w:val="a2"/>
    <w:link w:val="5"/>
    <w:uiPriority w:val="9"/>
    <w:semiHidden/>
    <w:rPr>
      <w:rFonts w:asciiTheme="majorHAnsi" w:eastAsiaTheme="majorEastAsia" w:hAnsiTheme="majorHAnsi" w:cstheme="majorBidi"/>
      <w:b/>
      <w:color w:val="595959" w:themeColor="text1" w:themeTint="A6"/>
      <w:sz w:val="30"/>
    </w:rPr>
  </w:style>
  <w:style w:type="character" w:customStyle="1" w:styleId="60">
    <w:name w:val="标题 6 字符"/>
    <w:basedOn w:val="a2"/>
    <w:link w:val="6"/>
    <w:uiPriority w:val="9"/>
    <w:semiHidden/>
    <w:rPr>
      <w:rFonts w:asciiTheme="majorHAnsi" w:eastAsiaTheme="majorEastAsia" w:hAnsiTheme="majorHAnsi" w:cstheme="majorBidi"/>
      <w:b/>
      <w:i/>
      <w:color w:val="595959" w:themeColor="text1" w:themeTint="A6"/>
      <w:sz w:val="30"/>
    </w:rPr>
  </w:style>
  <w:style w:type="character" w:customStyle="1" w:styleId="70">
    <w:name w:val="标题 7 字符"/>
    <w:basedOn w:val="a2"/>
    <w:link w:val="7"/>
    <w:uiPriority w:val="9"/>
    <w:semiHidden/>
    <w:rPr>
      <w:rFonts w:asciiTheme="majorHAnsi" w:eastAsiaTheme="majorEastAsia" w:hAnsiTheme="majorHAnsi" w:cstheme="majorBidi"/>
      <w:iCs/>
      <w:color w:val="595959" w:themeColor="text1" w:themeTint="A6"/>
      <w:sz w:val="30"/>
    </w:rPr>
  </w:style>
  <w:style w:type="character" w:customStyle="1" w:styleId="80">
    <w:name w:val="标题 8 字符"/>
    <w:basedOn w:val="a2"/>
    <w:link w:val="8"/>
    <w:uiPriority w:val="9"/>
    <w:semiHidden/>
    <w:rPr>
      <w:rFonts w:asciiTheme="majorHAnsi" w:eastAsiaTheme="majorEastAsia" w:hAnsiTheme="majorHAnsi" w:cstheme="majorBidi"/>
      <w:i/>
      <w:color w:val="595959" w:themeColor="text1" w:themeTint="A6"/>
      <w:sz w:val="30"/>
      <w:szCs w:val="21"/>
    </w:rPr>
  </w:style>
  <w:style w:type="character" w:customStyle="1" w:styleId="90">
    <w:name w:val="标题 9 字符"/>
    <w:basedOn w:val="a2"/>
    <w:link w:val="9"/>
    <w:uiPriority w:val="9"/>
    <w:semiHidden/>
    <w:rPr>
      <w:rFonts w:asciiTheme="majorHAnsi" w:eastAsiaTheme="majorEastAsia" w:hAnsiTheme="majorHAnsi" w:cstheme="majorBidi"/>
      <w:b/>
      <w:iCs/>
      <w:color w:val="595959" w:themeColor="text1" w:themeTint="A6"/>
      <w:sz w:val="26"/>
      <w:szCs w:val="21"/>
    </w:rPr>
  </w:style>
  <w:style w:type="character" w:styleId="af">
    <w:name w:val="Subtle Emphasis"/>
    <w:basedOn w:val="a2"/>
    <w:uiPriority w:val="19"/>
    <w:semiHidden/>
    <w:unhideWhenUsed/>
    <w:qFormat/>
    <w:rPr>
      <w:i/>
      <w:iCs/>
      <w:color w:val="000000" w:themeColor="text1"/>
    </w:rPr>
  </w:style>
  <w:style w:type="character" w:styleId="af0">
    <w:name w:val="Emphasis"/>
    <w:basedOn w:val="a2"/>
    <w:uiPriority w:val="20"/>
    <w:semiHidden/>
    <w:unhideWhenUsed/>
    <w:qFormat/>
    <w:rPr>
      <w:b/>
      <w:i/>
      <w:iCs/>
    </w:rPr>
  </w:style>
  <w:style w:type="character" w:styleId="af1">
    <w:name w:val="Intense Emphasis"/>
    <w:basedOn w:val="a2"/>
    <w:uiPriority w:val="21"/>
    <w:semiHidden/>
    <w:unhideWhenUsed/>
    <w:qFormat/>
    <w:rPr>
      <w:b/>
      <w:iCs/>
      <w:caps/>
      <w:smallCaps w:val="0"/>
      <w:color w:val="000000" w:themeColor="text1"/>
    </w:rPr>
  </w:style>
  <w:style w:type="character" w:styleId="af2">
    <w:name w:val="Subtle Reference"/>
    <w:basedOn w:val="a2"/>
    <w:uiPriority w:val="31"/>
    <w:semiHidden/>
    <w:unhideWhenUsed/>
    <w:qFormat/>
    <w:rPr>
      <w:caps/>
      <w:smallCaps w:val="0"/>
      <w:color w:val="000000" w:themeColor="text1"/>
    </w:rPr>
  </w:style>
  <w:style w:type="character" w:styleId="af3">
    <w:name w:val="Intense Reference"/>
    <w:basedOn w:val="a2"/>
    <w:uiPriority w:val="32"/>
    <w:semiHidden/>
    <w:unhideWhenUsed/>
    <w:qFormat/>
    <w:rPr>
      <w:b/>
      <w:bCs/>
      <w:i/>
      <w:caps/>
      <w:smallCaps w:val="0"/>
      <w:color w:val="000000" w:themeColor="text1"/>
      <w:spacing w:val="0"/>
    </w:rPr>
  </w:style>
  <w:style w:type="character" w:styleId="af4">
    <w:name w:val="Book Title"/>
    <w:basedOn w:val="a2"/>
    <w:uiPriority w:val="33"/>
    <w:semiHidden/>
    <w:unhideWhenUsed/>
    <w:qFormat/>
    <w:rPr>
      <w:b w:val="0"/>
      <w:bCs/>
      <w:i w:val="0"/>
      <w:iCs/>
      <w:spacing w:val="0"/>
      <w:u w:val="single"/>
    </w:rPr>
  </w:style>
  <w:style w:type="paragraph" w:styleId="af5">
    <w:name w:val="caption"/>
    <w:basedOn w:val="a1"/>
    <w:next w:val="a1"/>
    <w:uiPriority w:val="35"/>
    <w:semiHidden/>
    <w:unhideWhenUsed/>
    <w:qFormat/>
    <w:pPr>
      <w:spacing w:after="200" w:line="240" w:lineRule="auto"/>
    </w:pPr>
    <w:rPr>
      <w:i/>
      <w:iCs/>
      <w:sz w:val="20"/>
      <w:szCs w:val="18"/>
    </w:rPr>
  </w:style>
  <w:style w:type="character" w:styleId="af6">
    <w:name w:val="Placeholder Text"/>
    <w:basedOn w:val="a2"/>
    <w:uiPriority w:val="99"/>
    <w:semiHidden/>
    <w:rPr>
      <w:color w:val="808080"/>
    </w:rPr>
  </w:style>
  <w:style w:type="paragraph" w:styleId="af7">
    <w:name w:val="footer"/>
    <w:basedOn w:val="a1"/>
    <w:link w:val="af8"/>
    <w:uiPriority w:val="99"/>
    <w:unhideWhenUsed/>
    <w:qFormat/>
    <w:pPr>
      <w:spacing w:after="0" w:line="240" w:lineRule="auto"/>
    </w:pPr>
  </w:style>
  <w:style w:type="character" w:customStyle="1" w:styleId="af8">
    <w:name w:val="页脚 字符"/>
    <w:basedOn w:val="a2"/>
    <w:link w:val="af7"/>
    <w:uiPriority w:val="99"/>
  </w:style>
  <w:style w:type="paragraph" w:styleId="TOC">
    <w:name w:val="TOC Heading"/>
    <w:basedOn w:val="1"/>
    <w:next w:val="a1"/>
    <w:uiPriority w:val="39"/>
    <w:semiHidden/>
    <w:unhideWhenUsed/>
    <w:qFormat/>
    <w:pPr>
      <w:outlineLvl w:val="9"/>
    </w:pPr>
  </w:style>
  <w:style w:type="table" w:customStyle="1" w:styleId="ReportTable">
    <w:name w:val="Report Table"/>
    <w:basedOn w:val="a3"/>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a">
    <w:name w:val="明显引用 字符"/>
    <w:basedOn w:val="a2"/>
    <w:link w:val="a9"/>
    <w:uiPriority w:val="30"/>
    <w:semiHidden/>
    <w:rPr>
      <w:i/>
      <w:iCs/>
      <w:sz w:val="30"/>
    </w:rPr>
  </w:style>
  <w:style w:type="character" w:customStyle="1" w:styleId="20">
    <w:name w:val="标题 2 字符"/>
    <w:basedOn w:val="a2"/>
    <w:link w:val="2"/>
    <w:uiPriority w:val="9"/>
    <w:rPr>
      <w:rFonts w:asciiTheme="majorHAnsi" w:eastAsiaTheme="majorEastAsia" w:hAnsiTheme="majorHAnsi" w:cstheme="majorBidi"/>
      <w:sz w:val="36"/>
      <w:szCs w:val="26"/>
    </w:rPr>
  </w:style>
  <w:style w:type="paragraph" w:styleId="af9">
    <w:name w:val="header"/>
    <w:basedOn w:val="a1"/>
    <w:link w:val="afa"/>
    <w:uiPriority w:val="99"/>
    <w:qFormat/>
    <w:pPr>
      <w:spacing w:after="0" w:line="240" w:lineRule="auto"/>
    </w:pPr>
  </w:style>
  <w:style w:type="character" w:customStyle="1" w:styleId="30">
    <w:name w:val="标题 3 字符"/>
    <w:basedOn w:val="a2"/>
    <w:link w:val="3"/>
    <w:uiPriority w:val="9"/>
    <w:rPr>
      <w:rFonts w:asciiTheme="majorHAnsi" w:eastAsiaTheme="majorEastAsia" w:hAnsiTheme="majorHAnsi" w:cstheme="majorBidi"/>
      <w:sz w:val="30"/>
    </w:rPr>
  </w:style>
  <w:style w:type="character" w:customStyle="1" w:styleId="afa">
    <w:name w:val="页眉 字符"/>
    <w:basedOn w:val="a2"/>
    <w:link w:val="af9"/>
    <w:uiPriority w:val="99"/>
  </w:style>
  <w:style w:type="character" w:customStyle="1" w:styleId="40">
    <w:name w:val="标题 4 字符"/>
    <w:basedOn w:val="a2"/>
    <w:link w:val="4"/>
    <w:uiPriority w:val="9"/>
    <w:rPr>
      <w:rFonts w:asciiTheme="majorHAnsi" w:eastAsiaTheme="majorEastAsia" w:hAnsiTheme="majorHAnsi" w:cstheme="majorBidi"/>
      <w:i/>
      <w:iCs/>
      <w:sz w:val="30"/>
    </w:rPr>
  </w:style>
  <w:style w:type="paragraph" w:styleId="afb">
    <w:name w:val="Balloon Text"/>
    <w:basedOn w:val="a1"/>
    <w:link w:val="afc"/>
    <w:uiPriority w:val="99"/>
    <w:semiHidden/>
    <w:unhideWhenUsed/>
    <w:rsid w:val="00D46A78"/>
    <w:pPr>
      <w:spacing w:after="0" w:line="240" w:lineRule="auto"/>
    </w:pPr>
    <w:rPr>
      <w:rFonts w:ascii="宋体" w:eastAsia="宋体"/>
      <w:sz w:val="18"/>
      <w:szCs w:val="18"/>
    </w:rPr>
  </w:style>
  <w:style w:type="character" w:customStyle="1" w:styleId="afc">
    <w:name w:val="批注框文本 字符"/>
    <w:basedOn w:val="a2"/>
    <w:link w:val="afb"/>
    <w:uiPriority w:val="99"/>
    <w:semiHidden/>
    <w:rsid w:val="00D46A78"/>
    <w:rPr>
      <w:rFonts w:ascii="宋体" w:eastAsia="宋体"/>
      <w:sz w:val="18"/>
      <w:szCs w:val="18"/>
      <w:lang w:val="en-GB" w:eastAsia="zh-CN"/>
    </w:rPr>
  </w:style>
  <w:style w:type="paragraph" w:styleId="afd">
    <w:name w:val="Bibliography"/>
    <w:basedOn w:val="a1"/>
    <w:next w:val="a1"/>
    <w:uiPriority w:val="37"/>
    <w:unhideWhenUsed/>
    <w:rsid w:val="00596EEF"/>
  </w:style>
  <w:style w:type="character" w:styleId="afe">
    <w:name w:val="annotation reference"/>
    <w:basedOn w:val="a2"/>
    <w:uiPriority w:val="99"/>
    <w:semiHidden/>
    <w:unhideWhenUsed/>
    <w:rsid w:val="00596EEF"/>
    <w:rPr>
      <w:sz w:val="21"/>
      <w:szCs w:val="21"/>
    </w:rPr>
  </w:style>
  <w:style w:type="paragraph" w:styleId="aff">
    <w:name w:val="annotation text"/>
    <w:basedOn w:val="a1"/>
    <w:link w:val="aff0"/>
    <w:uiPriority w:val="99"/>
    <w:semiHidden/>
    <w:unhideWhenUsed/>
    <w:rsid w:val="00596EEF"/>
  </w:style>
  <w:style w:type="character" w:customStyle="1" w:styleId="aff0">
    <w:name w:val="批注文字 字符"/>
    <w:basedOn w:val="a2"/>
    <w:link w:val="aff"/>
    <w:uiPriority w:val="99"/>
    <w:semiHidden/>
    <w:rsid w:val="00596EEF"/>
    <w:rPr>
      <w:lang w:val="en-GB" w:eastAsia="zh-CN"/>
    </w:rPr>
  </w:style>
  <w:style w:type="paragraph" w:styleId="aff1">
    <w:name w:val="annotation subject"/>
    <w:basedOn w:val="aff"/>
    <w:next w:val="aff"/>
    <w:link w:val="aff2"/>
    <w:uiPriority w:val="99"/>
    <w:semiHidden/>
    <w:unhideWhenUsed/>
    <w:rsid w:val="00596EEF"/>
    <w:rPr>
      <w:b/>
      <w:bCs/>
    </w:rPr>
  </w:style>
  <w:style w:type="character" w:customStyle="1" w:styleId="aff2">
    <w:name w:val="批注主题 字符"/>
    <w:basedOn w:val="aff0"/>
    <w:link w:val="aff1"/>
    <w:uiPriority w:val="99"/>
    <w:semiHidden/>
    <w:rsid w:val="00596EEF"/>
    <w:rPr>
      <w:b/>
      <w:bCs/>
      <w:lang w:val="en-GB" w:eastAsia="zh-CN"/>
    </w:rPr>
  </w:style>
  <w:style w:type="paragraph" w:styleId="aff3">
    <w:name w:val="endnote text"/>
    <w:basedOn w:val="a1"/>
    <w:link w:val="aff4"/>
    <w:uiPriority w:val="99"/>
    <w:semiHidden/>
    <w:unhideWhenUsed/>
    <w:rsid w:val="00596EEF"/>
    <w:pPr>
      <w:snapToGrid w:val="0"/>
    </w:pPr>
  </w:style>
  <w:style w:type="character" w:customStyle="1" w:styleId="aff4">
    <w:name w:val="尾注文本 字符"/>
    <w:basedOn w:val="a2"/>
    <w:link w:val="aff3"/>
    <w:uiPriority w:val="99"/>
    <w:semiHidden/>
    <w:rsid w:val="00596EEF"/>
    <w:rPr>
      <w:lang w:val="en-GB" w:eastAsia="zh-CN"/>
    </w:rPr>
  </w:style>
  <w:style w:type="character" w:styleId="aff5">
    <w:name w:val="endnote reference"/>
    <w:basedOn w:val="a2"/>
    <w:uiPriority w:val="99"/>
    <w:semiHidden/>
    <w:unhideWhenUsed/>
    <w:rsid w:val="00596EEF"/>
    <w:rPr>
      <w:vertAlign w:val="superscript"/>
    </w:rPr>
  </w:style>
  <w:style w:type="paragraph" w:styleId="aff6">
    <w:name w:val="table of authorities"/>
    <w:basedOn w:val="a1"/>
    <w:next w:val="a1"/>
    <w:uiPriority w:val="99"/>
    <w:unhideWhenUsed/>
    <w:rsid w:val="00596EEF"/>
    <w:pPr>
      <w:spacing w:after="0"/>
      <w:ind w:left="240" w:hanging="240"/>
    </w:pPr>
    <w:rPr>
      <w:rFonts w:cstheme="minorHAnsi"/>
      <w:sz w:val="20"/>
      <w:szCs w:val="20"/>
    </w:rPr>
  </w:style>
  <w:style w:type="paragraph" w:styleId="aff7">
    <w:name w:val="toa heading"/>
    <w:basedOn w:val="a1"/>
    <w:next w:val="a1"/>
    <w:uiPriority w:val="99"/>
    <w:unhideWhenUsed/>
    <w:rsid w:val="00596EEF"/>
    <w:pPr>
      <w:spacing w:before="120" w:after="120"/>
    </w:pPr>
    <w:rPr>
      <w:rFonts w:cstheme="minorHAnsi"/>
      <w:sz w:val="20"/>
      <w:szCs w:val="20"/>
      <w:u w:val="single"/>
    </w:rPr>
  </w:style>
  <w:style w:type="character" w:styleId="aff8">
    <w:name w:val="Hyperlink"/>
    <w:basedOn w:val="a2"/>
    <w:uiPriority w:val="99"/>
    <w:unhideWhenUsed/>
    <w:rsid w:val="00F04E3F"/>
    <w:rPr>
      <w:color w:val="5E9EA1" w:themeColor="hyperlink"/>
      <w:u w:val="single"/>
    </w:rPr>
  </w:style>
  <w:style w:type="character" w:styleId="aff9">
    <w:name w:val="Unresolved Mention"/>
    <w:basedOn w:val="a2"/>
    <w:uiPriority w:val="99"/>
    <w:semiHidden/>
    <w:unhideWhenUsed/>
    <w:rsid w:val="00F04E3F"/>
    <w:rPr>
      <w:color w:val="605E5C"/>
      <w:shd w:val="clear" w:color="auto" w:fill="E1DFDD"/>
    </w:rPr>
  </w:style>
  <w:style w:type="character" w:styleId="affa">
    <w:name w:val="FollowedHyperlink"/>
    <w:basedOn w:val="a2"/>
    <w:uiPriority w:val="99"/>
    <w:semiHidden/>
    <w:unhideWhenUsed/>
    <w:rsid w:val="00D8082A"/>
    <w:rPr>
      <w:color w:val="7A4561" w:themeColor="followedHyperlink"/>
      <w:u w:val="single"/>
    </w:rPr>
  </w:style>
  <w:style w:type="character" w:customStyle="1" w:styleId="formula-inline">
    <w:name w:val="formula-inline"/>
    <w:basedOn w:val="a2"/>
    <w:rsid w:val="002A3FC3"/>
  </w:style>
  <w:style w:type="character" w:customStyle="1" w:styleId="formula">
    <w:name w:val="formula"/>
    <w:basedOn w:val="a2"/>
    <w:rsid w:val="002A3FC3"/>
  </w:style>
  <w:style w:type="paragraph" w:styleId="affb">
    <w:name w:val="Date"/>
    <w:basedOn w:val="a1"/>
    <w:next w:val="a1"/>
    <w:link w:val="affc"/>
    <w:uiPriority w:val="99"/>
    <w:semiHidden/>
    <w:unhideWhenUsed/>
    <w:rsid w:val="00F1474B"/>
    <w:pPr>
      <w:ind w:leftChars="2500" w:left="100"/>
    </w:pPr>
  </w:style>
  <w:style w:type="character" w:customStyle="1" w:styleId="affc">
    <w:name w:val="日期 字符"/>
    <w:basedOn w:val="a2"/>
    <w:link w:val="affb"/>
    <w:uiPriority w:val="99"/>
    <w:semiHidden/>
    <w:rsid w:val="00F1474B"/>
    <w:rPr>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21077">
      <w:bodyDiv w:val="1"/>
      <w:marLeft w:val="0"/>
      <w:marRight w:val="0"/>
      <w:marTop w:val="0"/>
      <w:marBottom w:val="0"/>
      <w:divBdr>
        <w:top w:val="none" w:sz="0" w:space="0" w:color="auto"/>
        <w:left w:val="none" w:sz="0" w:space="0" w:color="auto"/>
        <w:bottom w:val="none" w:sz="0" w:space="0" w:color="auto"/>
        <w:right w:val="none" w:sz="0" w:space="0" w:color="auto"/>
      </w:divBdr>
    </w:div>
    <w:div w:id="75975800">
      <w:bodyDiv w:val="1"/>
      <w:marLeft w:val="0"/>
      <w:marRight w:val="0"/>
      <w:marTop w:val="0"/>
      <w:marBottom w:val="0"/>
      <w:divBdr>
        <w:top w:val="none" w:sz="0" w:space="0" w:color="auto"/>
        <w:left w:val="none" w:sz="0" w:space="0" w:color="auto"/>
        <w:bottom w:val="none" w:sz="0" w:space="0" w:color="auto"/>
        <w:right w:val="none" w:sz="0" w:space="0" w:color="auto"/>
      </w:divBdr>
    </w:div>
    <w:div w:id="93013386">
      <w:bodyDiv w:val="1"/>
      <w:marLeft w:val="0"/>
      <w:marRight w:val="0"/>
      <w:marTop w:val="0"/>
      <w:marBottom w:val="0"/>
      <w:divBdr>
        <w:top w:val="none" w:sz="0" w:space="0" w:color="auto"/>
        <w:left w:val="none" w:sz="0" w:space="0" w:color="auto"/>
        <w:bottom w:val="none" w:sz="0" w:space="0" w:color="auto"/>
        <w:right w:val="none" w:sz="0" w:space="0" w:color="auto"/>
      </w:divBdr>
    </w:div>
    <w:div w:id="222985149">
      <w:bodyDiv w:val="1"/>
      <w:marLeft w:val="0"/>
      <w:marRight w:val="0"/>
      <w:marTop w:val="0"/>
      <w:marBottom w:val="0"/>
      <w:divBdr>
        <w:top w:val="none" w:sz="0" w:space="0" w:color="auto"/>
        <w:left w:val="none" w:sz="0" w:space="0" w:color="auto"/>
        <w:bottom w:val="none" w:sz="0" w:space="0" w:color="auto"/>
        <w:right w:val="none" w:sz="0" w:space="0" w:color="auto"/>
      </w:divBdr>
    </w:div>
    <w:div w:id="231501643">
      <w:bodyDiv w:val="1"/>
      <w:marLeft w:val="0"/>
      <w:marRight w:val="0"/>
      <w:marTop w:val="0"/>
      <w:marBottom w:val="0"/>
      <w:divBdr>
        <w:top w:val="none" w:sz="0" w:space="0" w:color="auto"/>
        <w:left w:val="none" w:sz="0" w:space="0" w:color="auto"/>
        <w:bottom w:val="none" w:sz="0" w:space="0" w:color="auto"/>
        <w:right w:val="none" w:sz="0" w:space="0" w:color="auto"/>
      </w:divBdr>
    </w:div>
    <w:div w:id="260995332">
      <w:bodyDiv w:val="1"/>
      <w:marLeft w:val="0"/>
      <w:marRight w:val="0"/>
      <w:marTop w:val="0"/>
      <w:marBottom w:val="0"/>
      <w:divBdr>
        <w:top w:val="none" w:sz="0" w:space="0" w:color="auto"/>
        <w:left w:val="none" w:sz="0" w:space="0" w:color="auto"/>
        <w:bottom w:val="none" w:sz="0" w:space="0" w:color="auto"/>
        <w:right w:val="none" w:sz="0" w:space="0" w:color="auto"/>
      </w:divBdr>
    </w:div>
    <w:div w:id="314913403">
      <w:bodyDiv w:val="1"/>
      <w:marLeft w:val="0"/>
      <w:marRight w:val="0"/>
      <w:marTop w:val="0"/>
      <w:marBottom w:val="0"/>
      <w:divBdr>
        <w:top w:val="none" w:sz="0" w:space="0" w:color="auto"/>
        <w:left w:val="none" w:sz="0" w:space="0" w:color="auto"/>
        <w:bottom w:val="none" w:sz="0" w:space="0" w:color="auto"/>
        <w:right w:val="none" w:sz="0" w:space="0" w:color="auto"/>
      </w:divBdr>
    </w:div>
    <w:div w:id="394817874">
      <w:bodyDiv w:val="1"/>
      <w:marLeft w:val="0"/>
      <w:marRight w:val="0"/>
      <w:marTop w:val="0"/>
      <w:marBottom w:val="0"/>
      <w:divBdr>
        <w:top w:val="none" w:sz="0" w:space="0" w:color="auto"/>
        <w:left w:val="none" w:sz="0" w:space="0" w:color="auto"/>
        <w:bottom w:val="none" w:sz="0" w:space="0" w:color="auto"/>
        <w:right w:val="none" w:sz="0" w:space="0" w:color="auto"/>
      </w:divBdr>
    </w:div>
    <w:div w:id="426535891">
      <w:bodyDiv w:val="1"/>
      <w:marLeft w:val="0"/>
      <w:marRight w:val="0"/>
      <w:marTop w:val="0"/>
      <w:marBottom w:val="0"/>
      <w:divBdr>
        <w:top w:val="none" w:sz="0" w:space="0" w:color="auto"/>
        <w:left w:val="none" w:sz="0" w:space="0" w:color="auto"/>
        <w:bottom w:val="none" w:sz="0" w:space="0" w:color="auto"/>
        <w:right w:val="none" w:sz="0" w:space="0" w:color="auto"/>
      </w:divBdr>
    </w:div>
    <w:div w:id="463306426">
      <w:bodyDiv w:val="1"/>
      <w:marLeft w:val="0"/>
      <w:marRight w:val="0"/>
      <w:marTop w:val="0"/>
      <w:marBottom w:val="0"/>
      <w:divBdr>
        <w:top w:val="none" w:sz="0" w:space="0" w:color="auto"/>
        <w:left w:val="none" w:sz="0" w:space="0" w:color="auto"/>
        <w:bottom w:val="none" w:sz="0" w:space="0" w:color="auto"/>
        <w:right w:val="none" w:sz="0" w:space="0" w:color="auto"/>
      </w:divBdr>
    </w:div>
    <w:div w:id="531378484">
      <w:bodyDiv w:val="1"/>
      <w:marLeft w:val="0"/>
      <w:marRight w:val="0"/>
      <w:marTop w:val="0"/>
      <w:marBottom w:val="0"/>
      <w:divBdr>
        <w:top w:val="none" w:sz="0" w:space="0" w:color="auto"/>
        <w:left w:val="none" w:sz="0" w:space="0" w:color="auto"/>
        <w:bottom w:val="none" w:sz="0" w:space="0" w:color="auto"/>
        <w:right w:val="none" w:sz="0" w:space="0" w:color="auto"/>
      </w:divBdr>
    </w:div>
    <w:div w:id="995765658">
      <w:bodyDiv w:val="1"/>
      <w:marLeft w:val="0"/>
      <w:marRight w:val="0"/>
      <w:marTop w:val="0"/>
      <w:marBottom w:val="0"/>
      <w:divBdr>
        <w:top w:val="none" w:sz="0" w:space="0" w:color="auto"/>
        <w:left w:val="none" w:sz="0" w:space="0" w:color="auto"/>
        <w:bottom w:val="none" w:sz="0" w:space="0" w:color="auto"/>
        <w:right w:val="none" w:sz="0" w:space="0" w:color="auto"/>
      </w:divBdr>
    </w:div>
    <w:div w:id="1045906894">
      <w:bodyDiv w:val="1"/>
      <w:marLeft w:val="0"/>
      <w:marRight w:val="0"/>
      <w:marTop w:val="0"/>
      <w:marBottom w:val="0"/>
      <w:divBdr>
        <w:top w:val="none" w:sz="0" w:space="0" w:color="auto"/>
        <w:left w:val="none" w:sz="0" w:space="0" w:color="auto"/>
        <w:bottom w:val="none" w:sz="0" w:space="0" w:color="auto"/>
        <w:right w:val="none" w:sz="0" w:space="0" w:color="auto"/>
      </w:divBdr>
    </w:div>
    <w:div w:id="1164124324">
      <w:bodyDiv w:val="1"/>
      <w:marLeft w:val="0"/>
      <w:marRight w:val="0"/>
      <w:marTop w:val="0"/>
      <w:marBottom w:val="0"/>
      <w:divBdr>
        <w:top w:val="none" w:sz="0" w:space="0" w:color="auto"/>
        <w:left w:val="none" w:sz="0" w:space="0" w:color="auto"/>
        <w:bottom w:val="none" w:sz="0" w:space="0" w:color="auto"/>
        <w:right w:val="none" w:sz="0" w:space="0" w:color="auto"/>
      </w:divBdr>
    </w:div>
    <w:div w:id="1171332921">
      <w:bodyDiv w:val="1"/>
      <w:marLeft w:val="0"/>
      <w:marRight w:val="0"/>
      <w:marTop w:val="0"/>
      <w:marBottom w:val="0"/>
      <w:divBdr>
        <w:top w:val="none" w:sz="0" w:space="0" w:color="auto"/>
        <w:left w:val="none" w:sz="0" w:space="0" w:color="auto"/>
        <w:bottom w:val="none" w:sz="0" w:space="0" w:color="auto"/>
        <w:right w:val="none" w:sz="0" w:space="0" w:color="auto"/>
      </w:divBdr>
    </w:div>
    <w:div w:id="1230649172">
      <w:bodyDiv w:val="1"/>
      <w:marLeft w:val="0"/>
      <w:marRight w:val="0"/>
      <w:marTop w:val="0"/>
      <w:marBottom w:val="0"/>
      <w:divBdr>
        <w:top w:val="none" w:sz="0" w:space="0" w:color="auto"/>
        <w:left w:val="none" w:sz="0" w:space="0" w:color="auto"/>
        <w:bottom w:val="none" w:sz="0" w:space="0" w:color="auto"/>
        <w:right w:val="none" w:sz="0" w:space="0" w:color="auto"/>
      </w:divBdr>
    </w:div>
    <w:div w:id="1400400767">
      <w:bodyDiv w:val="1"/>
      <w:marLeft w:val="0"/>
      <w:marRight w:val="0"/>
      <w:marTop w:val="0"/>
      <w:marBottom w:val="0"/>
      <w:divBdr>
        <w:top w:val="none" w:sz="0" w:space="0" w:color="auto"/>
        <w:left w:val="none" w:sz="0" w:space="0" w:color="auto"/>
        <w:bottom w:val="none" w:sz="0" w:space="0" w:color="auto"/>
        <w:right w:val="none" w:sz="0" w:space="0" w:color="auto"/>
      </w:divBdr>
    </w:div>
    <w:div w:id="1925649989">
      <w:bodyDiv w:val="1"/>
      <w:marLeft w:val="0"/>
      <w:marRight w:val="0"/>
      <w:marTop w:val="0"/>
      <w:marBottom w:val="0"/>
      <w:divBdr>
        <w:top w:val="none" w:sz="0" w:space="0" w:color="auto"/>
        <w:left w:val="none" w:sz="0" w:space="0" w:color="auto"/>
        <w:bottom w:val="none" w:sz="0" w:space="0" w:color="auto"/>
        <w:right w:val="none" w:sz="0" w:space="0" w:color="auto"/>
      </w:divBdr>
    </w:div>
    <w:div w:id="202107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hart-formations.com/chart-patterns/default.asp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hart-formations.com/indicators/default.aspx" TargetMode="External"/><Relationship Id="rId2" Type="http://schemas.openxmlformats.org/officeDocument/2006/relationships/numbering" Target="numbering.xml"/><Relationship Id="rId16" Type="http://schemas.openxmlformats.org/officeDocument/2006/relationships/hyperlink" Target="https://stockcharts.com/school/doku.php?id=chart_school:chart_analysis:support_and_resistan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iuji/Library/Containers/com.microsoft.Word/Data/Library/Application%20Support/Microsoft/Office/16.0/DTS/zh-CN%7b9F12BCA1-83CB-3F49-8757-E978E6DE9E49%7d/%7b85A55101-8AEF-F440-B434-8C441C1EDFFD%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{6D553606-4267-F544-8C2D-99332F5C6105}</b:Guid>
    <b:URL>https://stockcharts.com/school/doku.php?id=chart_school:chart_analysis:support_and_resistance</b:URL>
    <b:RefOrder>1</b:RefOrder>
  </b:Source>
  <b:Source>
    <b:Tag>htt1</b:Tag>
    <b:SourceType>InternetSite</b:SourceType>
    <b:Guid>{AE18707F-10DD-AF45-ABFC-A7A0C2D20F2B}</b:Guid>
    <b:URL>https://stockcharts.com/school/doku.php?id=chart_school:chart_analysis:support_and_resistance</b:URL>
    <b:RefOrder>2</b:RefOrder>
  </b:Source>
  <b:Source>
    <b:Tag>fin</b:Tag>
    <b:SourceType>InternetSite</b:SourceType>
    <b:Guid>{60EE49C8-609B-C64E-BFC3-492D739B97B8}</b:Guid>
    <b:Title>finance yahoo</b:Title>
    <b:URL>www.ficna.com</b:URL>
    <b:RefOrder>3</b:RefOrder>
  </b:Source>
</b:Sources>
</file>

<file path=customXml/itemProps1.xml><?xml version="1.0" encoding="utf-8"?>
<ds:datastoreItem xmlns:ds="http://schemas.openxmlformats.org/officeDocument/2006/customXml" ds:itemID="{B2EAE117-1E7A-3347-852F-A5258EBA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研究论文.dotx</Template>
  <TotalTime>347</TotalTime>
  <Pages>9</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Chaoji Zuo</cp:lastModifiedBy>
  <cp:revision>3</cp:revision>
  <dcterms:created xsi:type="dcterms:W3CDTF">2019-02-14T23:17:00Z</dcterms:created>
  <dcterms:modified xsi:type="dcterms:W3CDTF">2019-02-15T07:31:00Z</dcterms:modified>
</cp:coreProperties>
</file>