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aps/>
          <w:sz w:val="28"/>
          <w:szCs w:val="28"/>
        </w:rPr>
        <w:t xml:space="preserve">CONTRATO DE CONDOMÍNIO RURAL</w:t>
      </w:r>
    </w:p>
    <w:p>
      <w:pPr>
        <w:spacing w:after="60"/>
      </w:pPr>
    </w:p>
    <w:p>
      <w:pPr>
        <w:spacing w:after="60"/>
        <w:jc w:val="center"/>
      </w:pPr>
      <w:r>
        <w:rPr>
          <w:rFonts w:ascii="Times New Roman" w:cs="Times New Roman" w:eastAsia="Times New Roman" w:hAnsi="Times New Roman"/>
          <w:b/>
          <w:bCs/>
          <w:sz w:val="24"/>
          <w:szCs w:val="24"/>
        </w:rPr>
        <w:t xml:space="preserve">Imóvel: {{nome_imovel}}</w:t>
      </w:r>
    </w:p>
    <w:p>
      <w:pPr>
        <w:spacing w:after="120" w:line="276"/>
        <w:jc w:val="center"/>
      </w:pPr>
      <w:r>
        <w:rPr>
          <w:rFonts w:ascii="Times New Roman" w:cs="Times New Roman" w:eastAsia="Times New Roman" w:hAnsi="Times New Roman"/>
          <w:b w:val="false"/>
          <w:bCs w:val="false"/>
          <w:i w:val="false"/>
          <w:iCs w:val="false"/>
          <w:sz w:val="22"/>
          <w:szCs w:val="22"/>
        </w:rPr>
        <w:t xml:space="preserve">Matrícula nº {{matricula_imovel}} — {{municipio_imovel}}/{{uf_imovel}}</w:t>
      </w:r>
    </w:p>
    <w:p>
      <w:pPr>
        <w:spacing w:after="120" w:line="276"/>
        <w:jc w:val="center"/>
      </w:pPr>
      <w:r>
        <w:rPr>
          <w:rFonts w:ascii="Times New Roman" w:cs="Times New Roman" w:eastAsia="Times New Roman" w:hAnsi="Times New Roman"/>
          <w:b w:val="false"/>
          <w:bCs w:val="false"/>
          <w:i w:val="false"/>
          <w:iCs w:val="false"/>
          <w:sz w:val="22"/>
          <w:szCs w:val="22"/>
        </w:rPr>
        <w:t xml:space="preserve">Área Total do Imóvel: {{area_total_imovel_ha}} ha  |  Área Individualizada: {{area_total_ha}} ha  |  Área Comum: {{area_comum_ha}} ha</w:t>
      </w:r>
    </w:p>
    <w:p>
      <w:pPr>
        <w:pBdr>
          <w:bottom w:val="single" w:color="333333" w:sz="4"/>
        </w:pBdr>
        <w:spacing w:after="60" w:before="60"/>
      </w:pPr>
    </w:p>
    <w:p>
      <w:pPr>
        <w:spacing w:after="80"/>
      </w:pPr>
    </w:p>
    <w:p>
      <w:pPr>
        <w:spacing w:after="120" w:line="276"/>
        <w:jc w:val="both"/>
      </w:pPr>
      <w:r>
        <w:rPr>
          <w:rFonts w:ascii="Times New Roman" w:cs="Times New Roman" w:eastAsia="Times New Roman" w:hAnsi="Times New Roman"/>
          <w:b w:val="false"/>
          <w:bCs w:val="false"/>
          <w:i w:val="false"/>
          <w:iCs w:val="false"/>
          <w:sz w:val="24"/>
          <w:szCs w:val="24"/>
        </w:rPr>
        <w:t xml:space="preserve">Os condôminos abaixo qualificados, maiores e capazes, tendo como objetivo formalizar o condomínio rural constituído sobre o imóvel acima identificado, nos termos do art. 1.314 e seguintes do Código Civil (Lei 10.406/2002), do Estatuto da Terra (Lei 4.504/1964) e do Decreto nº 59.566/1966, têm entre si justo e acertado o presente CONTRATO DE CONDOMÍNIO RURAL, que se rege pelas cláusulas e condições seguintes:</w:t>
      </w:r>
    </w:p>
    <w:p>
      <w:pPr>
        <w:spacing w:after="120"/>
      </w:pPr>
    </w:p>
    <w:p>
      <w:pPr>
        <w:spacing w:after="100" w:before="200"/>
        <w:jc w:val="center"/>
      </w:pPr>
      <w:r>
        <w:rPr>
          <w:rFonts w:ascii="Times New Roman" w:cs="Times New Roman" w:eastAsia="Times New Roman" w:hAnsi="Times New Roman"/>
          <w:b/>
          <w:bCs/>
          <w:caps/>
          <w:sz w:val="24"/>
          <w:szCs w:val="24"/>
        </w:rPr>
        <w:t xml:space="preserve">PARTE I — IDENTIFICAÇÃO DAS PARTES</w:t>
      </w:r>
    </w:p>
    <w:p>
      <w:pPr>
        <w:spacing w:after="80" w:before="160"/>
      </w:pPr>
      <w:r>
        <w:rPr>
          <w:rFonts w:ascii="Times New Roman" w:cs="Times New Roman" w:eastAsia="Times New Roman" w:hAnsi="Times New Roman"/>
          <w:b/>
          <w:bCs/>
          <w:sz w:val="24"/>
          <w:szCs w:val="24"/>
        </w:rPr>
        <w:t xml:space="preserve">CLÁUSULA PRIMEIRA — DOS CONDÔMINOS</w:t>
      </w:r>
    </w:p>
    <w:p>
      <w:pPr>
        <w:spacing w:after="120" w:line="276"/>
        <w:jc w:val="both"/>
      </w:pPr>
      <w:r>
        <w:rPr>
          <w:rFonts w:ascii="Times New Roman" w:cs="Times New Roman" w:eastAsia="Times New Roman" w:hAnsi="Times New Roman"/>
          <w:b w:val="false"/>
          <w:bCs w:val="false"/>
          <w:i w:val="false"/>
          <w:iCs w:val="false"/>
          <w:sz w:val="24"/>
          <w:szCs w:val="24"/>
        </w:rPr>
        <w:t xml:space="preserve">São partes do presente contrato, na qualidade de CONDÔMINOS, as seguintes pessoas:</w:t>
      </w:r>
    </w:p>
    <w:p>
      <w:pPr>
        <w:spacing w:after="80"/>
      </w:pPr>
    </w:p>
    <w:tbl>
      <w:tblPr>
        <w:tblW w:type="dxa" w:w="7400"/>
        <w:tblBorders>
          <w:top w:val="single" w:color="333333" w:sz="4"/>
          <w:left w:val="single" w:color="333333" w:sz="4"/>
          <w:bottom w:val="single" w:color="333333" w:sz="4"/>
          <w:right w:val="single" w:color="333333" w:sz="4"/>
          <w:insideH w:val="single" w:color="auto" w:sz="4"/>
          <w:insideV w:val="single" w:color="auto" w:sz="4"/>
        </w:tblBorders>
      </w:tblPr>
      <w:tblGrid>
        <w:gridCol w:w="400"/>
        <w:gridCol w:w="2000"/>
        <w:gridCol w:w="1400"/>
        <w:gridCol w:w="1400"/>
        <w:gridCol w:w="1000"/>
        <w:gridCol w:w="1200"/>
      </w:tblGrid>
      <w:tr>
        <w:trPr>
          <w:tblHeader/>
        </w:trPr>
        <w:tc>
          <w:tcPr>
            <w:tcW w:type="dxa" w:w="400"/>
            <w:shd w:fill="1a2e1a" w:val="clear"/>
          </w:tcPr>
          <w:p>
            <w:pPr>
              <w:jc w:val="center"/>
            </w:pPr>
            <w:r>
              <w:rPr>
                <w:rFonts w:ascii="Times New Roman" w:cs="Times New Roman" w:eastAsia="Times New Roman" w:hAnsi="Times New Roman"/>
                <w:b/>
                <w:bCs/>
                <w:color w:val="FFFFFF"/>
                <w:sz w:val="20"/>
                <w:szCs w:val="20"/>
              </w:rPr>
              <w:t xml:space="preserve">Nº</w:t>
            </w:r>
          </w:p>
        </w:tc>
        <w:tc>
          <w:tcPr>
            <w:tcW w:type="dxa" w:w="2000"/>
            <w:shd w:fill="1a2e1a" w:val="clear"/>
          </w:tcPr>
          <w:p>
            <w:pPr>
              <w:jc w:val="center"/>
            </w:pPr>
            <w:r>
              <w:rPr>
                <w:rFonts w:ascii="Times New Roman" w:cs="Times New Roman" w:eastAsia="Times New Roman" w:hAnsi="Times New Roman"/>
                <w:b/>
                <w:bCs/>
                <w:color w:val="FFFFFF"/>
                <w:sz w:val="20"/>
                <w:szCs w:val="20"/>
              </w:rPr>
              <w:t xml:space="preserve">Nome / Razão Social</w:t>
            </w:r>
          </w:p>
        </w:tc>
        <w:tc>
          <w:tcPr>
            <w:tcW w:type="dxa" w:w="1400"/>
            <w:shd w:fill="1a2e1a" w:val="clear"/>
          </w:tcPr>
          <w:p>
            <w:pPr>
              <w:jc w:val="center"/>
            </w:pPr>
            <w:r>
              <w:rPr>
                <w:rFonts w:ascii="Times New Roman" w:cs="Times New Roman" w:eastAsia="Times New Roman" w:hAnsi="Times New Roman"/>
                <w:b/>
                <w:bCs/>
                <w:color w:val="FFFFFF"/>
                <w:sz w:val="20"/>
                <w:szCs w:val="20"/>
              </w:rPr>
              <w:t xml:space="preserve">CPF/CNPJ</w:t>
            </w:r>
          </w:p>
        </w:tc>
        <w:tc>
          <w:tcPr>
            <w:tcW w:type="dxa" w:w="1400"/>
            <w:shd w:fill="1a2e1a" w:val="clear"/>
          </w:tcPr>
          <w:p>
            <w:pPr>
              <w:jc w:val="center"/>
            </w:pPr>
            <w:r>
              <w:rPr>
                <w:rFonts w:ascii="Times New Roman" w:cs="Times New Roman" w:eastAsia="Times New Roman" w:hAnsi="Times New Roman"/>
                <w:b/>
                <w:bCs/>
                <w:color w:val="FFFFFF"/>
                <w:sz w:val="20"/>
                <w:szCs w:val="20"/>
              </w:rPr>
              <w:t xml:space="preserve">Área Individual (ha)</w:t>
            </w:r>
          </w:p>
        </w:tc>
        <w:tc>
          <w:tcPr>
            <w:tcW w:type="dxa" w:w="1000"/>
            <w:shd w:fill="1a2e1a" w:val="clear"/>
          </w:tcPr>
          <w:p>
            <w:pPr>
              <w:jc w:val="center"/>
            </w:pPr>
            <w:r>
              <w:rPr>
                <w:rFonts w:ascii="Times New Roman" w:cs="Times New Roman" w:eastAsia="Times New Roman" w:hAnsi="Times New Roman"/>
                <w:b/>
                <w:bCs/>
                <w:color w:val="FFFFFF"/>
                <w:sz w:val="20"/>
                <w:szCs w:val="20"/>
              </w:rPr>
              <w:t xml:space="preserve">Cota (%)</w:t>
            </w:r>
          </w:p>
        </w:tc>
        <w:tc>
          <w:tcPr>
            <w:tcW w:type="dxa" w:w="1200"/>
            <w:shd w:fill="1a2e1a" w:val="clear"/>
          </w:tcPr>
          <w:p>
            <w:pPr>
              <w:jc w:val="center"/>
            </w:pPr>
            <w:r>
              <w:rPr>
                <w:rFonts w:ascii="Times New Roman" w:cs="Times New Roman" w:eastAsia="Times New Roman" w:hAnsi="Times New Roman"/>
                <w:b/>
                <w:bCs/>
                <w:color w:val="FFFFFF"/>
                <w:sz w:val="20"/>
                <w:szCs w:val="20"/>
              </w:rPr>
              <w:t xml:space="preserve">Papel</w:t>
            </w:r>
          </w:p>
        </w:tc>
      </w:tr>
      <w:tr>
        <w:tc>
          <w:tcPr>
            <w:tcW w:type="dxa" w:w="400"/>
            <w:shd w:fill="f5f0e8" w:val="clear"/>
          </w:tcPr>
          <w:p>
            <w:pPr>
              <w:jc w:val="left"/>
            </w:pPr>
            <w:r>
              <w:rPr>
                <w:rFonts w:ascii="Times New Roman" w:cs="Times New Roman" w:eastAsia="Times New Roman" w:hAnsi="Times New Roman"/>
                <w:b w:val="false"/>
                <w:bCs w:val="false"/>
                <w:color w:val="000000"/>
                <w:sz w:val="20"/>
                <w:szCs w:val="20"/>
              </w:rPr>
              <w:t xml:space="preserve">1</w:t>
            </w:r>
          </w:p>
        </w:tc>
        <w:tc>
          <w:tcPr>
            <w:tcW w:type="dxa" w:w="2000"/>
            <w:shd w:fill="f5f0e8" w:val="clear"/>
          </w:tcPr>
          <w:p>
            <w:pPr>
              <w:jc w:val="center"/>
            </w:pPr>
            <w:r>
              <w:rPr>
                <w:rFonts w:ascii="Times New Roman" w:cs="Times New Roman" w:eastAsia="Times New Roman" w:hAnsi="Times New Roman"/>
                <w:b w:val="false"/>
                <w:bCs w:val="false"/>
                <w:color w:val="000000"/>
                <w:sz w:val="20"/>
                <w:szCs w:val="20"/>
              </w:rPr>
              <w:t xml:space="preserve">{{condomino_1_nome}}</w:t>
            </w:r>
          </w:p>
        </w:tc>
        <w:tc>
          <w:tcPr>
            <w:tcW w:type="dxa" w:w="1400"/>
            <w:shd w:fill="f5f0e8" w:val="clear"/>
          </w:tcPr>
          <w:p>
            <w:pPr>
              <w:jc w:val="center"/>
            </w:pPr>
            <w:r>
              <w:rPr>
                <w:rFonts w:ascii="Times New Roman" w:cs="Times New Roman" w:eastAsia="Times New Roman" w:hAnsi="Times New Roman"/>
                <w:b w:val="false"/>
                <w:bCs w:val="false"/>
                <w:color w:val="000000"/>
                <w:sz w:val="20"/>
                <w:szCs w:val="20"/>
              </w:rPr>
              <w:t xml:space="preserve">{{condomino_1_doc}}</w:t>
            </w:r>
          </w:p>
        </w:tc>
        <w:tc>
          <w:tcPr>
            <w:tcW w:type="dxa" w:w="1400"/>
            <w:shd w:fill="f5f0e8" w:val="clear"/>
          </w:tcPr>
          <w:p>
            <w:pPr>
              <w:jc w:val="center"/>
            </w:pPr>
            <w:r>
              <w:rPr>
                <w:rFonts w:ascii="Times New Roman" w:cs="Times New Roman" w:eastAsia="Times New Roman" w:hAnsi="Times New Roman"/>
                <w:b w:val="false"/>
                <w:bCs w:val="false"/>
                <w:color w:val="000000"/>
                <w:sz w:val="20"/>
                <w:szCs w:val="20"/>
              </w:rPr>
              <w:t xml:space="preserve">{{condomino_1_area_ha}}</w:t>
            </w:r>
          </w:p>
        </w:tc>
        <w:tc>
          <w:tcPr>
            <w:tcW w:type="dxa" w:w="1000"/>
            <w:shd w:fill="f5f0e8" w:val="clear"/>
          </w:tcPr>
          <w:p>
            <w:pPr>
              <w:jc w:val="center"/>
            </w:pPr>
            <w:r>
              <w:rPr>
                <w:rFonts w:ascii="Times New Roman" w:cs="Times New Roman" w:eastAsia="Times New Roman" w:hAnsi="Times New Roman"/>
                <w:b w:val="false"/>
                <w:bCs w:val="false"/>
                <w:color w:val="000000"/>
                <w:sz w:val="20"/>
                <w:szCs w:val="20"/>
              </w:rPr>
              <w:t xml:space="preserve">{{condomino_1_percentual}}</w:t>
            </w:r>
          </w:p>
        </w:tc>
        <w:tc>
          <w:tcPr>
            <w:tcW w:type="dxa" w:w="1200"/>
            <w:shd w:fill="f5f0e8" w:val="clear"/>
          </w:tcPr>
          <w:p>
            <w:pPr>
              <w:jc w:val="center"/>
            </w:pPr>
            <w:r>
              <w:rPr>
                <w:rFonts w:ascii="Times New Roman" w:cs="Times New Roman" w:eastAsia="Times New Roman" w:hAnsi="Times New Roman"/>
                <w:b w:val="false"/>
                <w:bCs w:val="false"/>
                <w:color w:val="000000"/>
                <w:sz w:val="20"/>
                <w:szCs w:val="20"/>
              </w:rPr>
              <w:t xml:space="preserve">{{condomino_1_papel}}</w:t>
            </w:r>
          </w:p>
        </w:tc>
      </w:tr>
      <w:tr>
        <w:tc>
          <w:tcPr>
            <w:tcW w:type="dxa" w:w="400"/>
            <w:shd w:fill="FFFFFF" w:val="clear"/>
          </w:tcPr>
          <w:p>
            <w:pPr>
              <w:jc w:val="left"/>
            </w:pPr>
            <w:r>
              <w:rPr>
                <w:rFonts w:ascii="Times New Roman" w:cs="Times New Roman" w:eastAsia="Times New Roman" w:hAnsi="Times New Roman"/>
                <w:b w:val="false"/>
                <w:bCs w:val="false"/>
                <w:color w:val="000000"/>
                <w:sz w:val="20"/>
                <w:szCs w:val="20"/>
              </w:rPr>
              <w:t xml:space="preserve">2</w:t>
            </w:r>
          </w:p>
        </w:tc>
        <w:tc>
          <w:tcPr>
            <w:tcW w:type="dxa" w:w="2000"/>
            <w:shd w:fill="FFFFFF" w:val="clear"/>
          </w:tcPr>
          <w:p>
            <w:pPr>
              <w:jc w:val="center"/>
            </w:pPr>
            <w:r>
              <w:rPr>
                <w:rFonts w:ascii="Times New Roman" w:cs="Times New Roman" w:eastAsia="Times New Roman" w:hAnsi="Times New Roman"/>
                <w:b w:val="false"/>
                <w:bCs w:val="false"/>
                <w:color w:val="000000"/>
                <w:sz w:val="20"/>
                <w:szCs w:val="20"/>
              </w:rPr>
              <w:t xml:space="preserve">{{condomino_2_nome}}</w:t>
            </w:r>
          </w:p>
        </w:tc>
        <w:tc>
          <w:tcPr>
            <w:tcW w:type="dxa" w:w="1400"/>
            <w:shd w:fill="FFFFFF" w:val="clear"/>
          </w:tcPr>
          <w:p>
            <w:pPr>
              <w:jc w:val="center"/>
            </w:pPr>
            <w:r>
              <w:rPr>
                <w:rFonts w:ascii="Times New Roman" w:cs="Times New Roman" w:eastAsia="Times New Roman" w:hAnsi="Times New Roman"/>
                <w:b w:val="false"/>
                <w:bCs w:val="false"/>
                <w:color w:val="000000"/>
                <w:sz w:val="20"/>
                <w:szCs w:val="20"/>
              </w:rPr>
              <w:t xml:space="preserve">{{condomino_2_doc}}</w:t>
            </w:r>
          </w:p>
        </w:tc>
        <w:tc>
          <w:tcPr>
            <w:tcW w:type="dxa" w:w="1400"/>
            <w:shd w:fill="FFFFFF" w:val="clear"/>
          </w:tcPr>
          <w:p>
            <w:pPr>
              <w:jc w:val="center"/>
            </w:pPr>
            <w:r>
              <w:rPr>
                <w:rFonts w:ascii="Times New Roman" w:cs="Times New Roman" w:eastAsia="Times New Roman" w:hAnsi="Times New Roman"/>
                <w:b w:val="false"/>
                <w:bCs w:val="false"/>
                <w:color w:val="000000"/>
                <w:sz w:val="20"/>
                <w:szCs w:val="20"/>
              </w:rPr>
              <w:t xml:space="preserve">{{condomino_2_area_ha}}</w:t>
            </w:r>
          </w:p>
        </w:tc>
        <w:tc>
          <w:tcPr>
            <w:tcW w:type="dxa" w:w="1000"/>
            <w:shd w:fill="FFFFFF" w:val="clear"/>
          </w:tcPr>
          <w:p>
            <w:pPr>
              <w:jc w:val="center"/>
            </w:pPr>
            <w:r>
              <w:rPr>
                <w:rFonts w:ascii="Times New Roman" w:cs="Times New Roman" w:eastAsia="Times New Roman" w:hAnsi="Times New Roman"/>
                <w:b w:val="false"/>
                <w:bCs w:val="false"/>
                <w:color w:val="000000"/>
                <w:sz w:val="20"/>
                <w:szCs w:val="20"/>
              </w:rPr>
              <w:t xml:space="preserve">{{condomino_2_percentual}}</w:t>
            </w:r>
          </w:p>
        </w:tc>
        <w:tc>
          <w:tcPr>
            <w:tcW w:type="dxa" w:w="1200"/>
            <w:shd w:fill="FFFFFF" w:val="clear"/>
          </w:tcPr>
          <w:p>
            <w:pPr>
              <w:jc w:val="center"/>
            </w:pPr>
            <w:r>
              <w:rPr>
                <w:rFonts w:ascii="Times New Roman" w:cs="Times New Roman" w:eastAsia="Times New Roman" w:hAnsi="Times New Roman"/>
                <w:b w:val="false"/>
                <w:bCs w:val="false"/>
                <w:color w:val="000000"/>
                <w:sz w:val="20"/>
                <w:szCs w:val="20"/>
              </w:rPr>
              <w:t xml:space="preserve">{{condomino_2_papel}}</w:t>
            </w:r>
          </w:p>
        </w:tc>
      </w:tr>
      <w:tr>
        <w:tc>
          <w:tcPr>
            <w:tcW w:type="dxa" w:w="400"/>
            <w:shd w:fill="f5f0e8" w:val="clear"/>
          </w:tcPr>
          <w:p>
            <w:pPr>
              <w:jc w:val="left"/>
            </w:pPr>
            <w:r>
              <w:rPr>
                <w:rFonts w:ascii="Times New Roman" w:cs="Times New Roman" w:eastAsia="Times New Roman" w:hAnsi="Times New Roman"/>
                <w:b w:val="false"/>
                <w:bCs w:val="false"/>
                <w:color w:val="000000"/>
                <w:sz w:val="20"/>
                <w:szCs w:val="20"/>
              </w:rPr>
              <w:t xml:space="preserve">3</w:t>
            </w:r>
          </w:p>
        </w:tc>
        <w:tc>
          <w:tcPr>
            <w:tcW w:type="dxa" w:w="2000"/>
            <w:shd w:fill="f5f0e8" w:val="clear"/>
          </w:tcPr>
          <w:p>
            <w:pPr>
              <w:jc w:val="center"/>
            </w:pPr>
            <w:r>
              <w:rPr>
                <w:rFonts w:ascii="Times New Roman" w:cs="Times New Roman" w:eastAsia="Times New Roman" w:hAnsi="Times New Roman"/>
                <w:b w:val="false"/>
                <w:bCs w:val="false"/>
                <w:color w:val="000000"/>
                <w:sz w:val="20"/>
                <w:szCs w:val="20"/>
              </w:rPr>
              <w:t xml:space="preserve">{{condomino_3_nome}}</w:t>
            </w:r>
          </w:p>
        </w:tc>
        <w:tc>
          <w:tcPr>
            <w:tcW w:type="dxa" w:w="1400"/>
            <w:shd w:fill="f5f0e8" w:val="clear"/>
          </w:tcPr>
          <w:p>
            <w:pPr>
              <w:jc w:val="center"/>
            </w:pPr>
            <w:r>
              <w:rPr>
                <w:rFonts w:ascii="Times New Roman" w:cs="Times New Roman" w:eastAsia="Times New Roman" w:hAnsi="Times New Roman"/>
                <w:b w:val="false"/>
                <w:bCs w:val="false"/>
                <w:color w:val="000000"/>
                <w:sz w:val="20"/>
                <w:szCs w:val="20"/>
              </w:rPr>
              <w:t xml:space="preserve">{{condomino_3_doc}}</w:t>
            </w:r>
          </w:p>
        </w:tc>
        <w:tc>
          <w:tcPr>
            <w:tcW w:type="dxa" w:w="1400"/>
            <w:shd w:fill="f5f0e8" w:val="clear"/>
          </w:tcPr>
          <w:p>
            <w:pPr>
              <w:jc w:val="center"/>
            </w:pPr>
            <w:r>
              <w:rPr>
                <w:rFonts w:ascii="Times New Roman" w:cs="Times New Roman" w:eastAsia="Times New Roman" w:hAnsi="Times New Roman"/>
                <w:b w:val="false"/>
                <w:bCs w:val="false"/>
                <w:color w:val="000000"/>
                <w:sz w:val="20"/>
                <w:szCs w:val="20"/>
              </w:rPr>
              <w:t xml:space="preserve">{{condomino_3_area_ha}}</w:t>
            </w:r>
          </w:p>
        </w:tc>
        <w:tc>
          <w:tcPr>
            <w:tcW w:type="dxa" w:w="1000"/>
            <w:shd w:fill="f5f0e8" w:val="clear"/>
          </w:tcPr>
          <w:p>
            <w:pPr>
              <w:jc w:val="center"/>
            </w:pPr>
            <w:r>
              <w:rPr>
                <w:rFonts w:ascii="Times New Roman" w:cs="Times New Roman" w:eastAsia="Times New Roman" w:hAnsi="Times New Roman"/>
                <w:b w:val="false"/>
                <w:bCs w:val="false"/>
                <w:color w:val="000000"/>
                <w:sz w:val="20"/>
                <w:szCs w:val="20"/>
              </w:rPr>
              <w:t xml:space="preserve">{{condomino_3_percentual}}</w:t>
            </w:r>
          </w:p>
        </w:tc>
        <w:tc>
          <w:tcPr>
            <w:tcW w:type="dxa" w:w="1200"/>
            <w:shd w:fill="f5f0e8" w:val="clear"/>
          </w:tcPr>
          <w:p>
            <w:pPr>
              <w:jc w:val="center"/>
            </w:pPr>
            <w:r>
              <w:rPr>
                <w:rFonts w:ascii="Times New Roman" w:cs="Times New Roman" w:eastAsia="Times New Roman" w:hAnsi="Times New Roman"/>
                <w:b w:val="false"/>
                <w:bCs w:val="false"/>
                <w:color w:val="000000"/>
                <w:sz w:val="20"/>
                <w:szCs w:val="20"/>
              </w:rPr>
              <w:t xml:space="preserve">{{condomino_3_papel}}</w:t>
            </w:r>
          </w:p>
        </w:tc>
      </w:tr>
      <w:tr>
        <w:tc>
          <w:tcPr>
            <w:tcW w:type="dxa" w:w="400"/>
            <w:shd w:fill="FFFFFF" w:val="clear"/>
          </w:tcPr>
          <w:p>
            <w:pPr>
              <w:jc w:val="left"/>
            </w:pPr>
            <w:r>
              <w:rPr>
                <w:rFonts w:ascii="Times New Roman" w:cs="Times New Roman" w:eastAsia="Times New Roman" w:hAnsi="Times New Roman"/>
                <w:b w:val="false"/>
                <w:bCs w:val="false"/>
                <w:color w:val="000000"/>
                <w:sz w:val="20"/>
                <w:szCs w:val="20"/>
              </w:rPr>
              <w:t xml:space="preserve"/>
            </w:r>
          </w:p>
        </w:tc>
        <w:tc>
          <w:tcPr>
            <w:tcW w:type="dxa" w:w="2000"/>
            <w:shd w:fill="FFFFFF" w:val="clear"/>
          </w:tcPr>
          <w:p>
            <w:pPr>
              <w:jc w:val="center"/>
            </w:pPr>
            <w:r>
              <w:rPr>
                <w:rFonts w:ascii="Times New Roman" w:cs="Times New Roman" w:eastAsia="Times New Roman" w:hAnsi="Times New Roman"/>
                <w:b w:val="false"/>
                <w:bCs w:val="false"/>
                <w:color w:val="000000"/>
                <w:sz w:val="20"/>
                <w:szCs w:val="20"/>
              </w:rPr>
              <w:t xml:space="preserve">TOTAL INDIVIDUALIZADO</w:t>
            </w:r>
          </w:p>
        </w:tc>
        <w:tc>
          <w:tcPr>
            <w:tcW w:type="dxa" w:w="1400"/>
            <w:shd w:fill="FFFFFF" w:val="clear"/>
          </w:tcPr>
          <w:p>
            <w:pPr>
              <w:jc w:val="center"/>
            </w:pPr>
            <w:r>
              <w:rPr>
                <w:rFonts w:ascii="Times New Roman" w:cs="Times New Roman" w:eastAsia="Times New Roman" w:hAnsi="Times New Roman"/>
                <w:b w:val="false"/>
                <w:bCs w:val="false"/>
                <w:color w:val="000000"/>
                <w:sz w:val="20"/>
                <w:szCs w:val="20"/>
              </w:rPr>
              <w:t xml:space="preserve"/>
            </w:r>
          </w:p>
        </w:tc>
        <w:tc>
          <w:tcPr>
            <w:tcW w:type="dxa" w:w="1400"/>
            <w:shd w:fill="FFFFFF" w:val="clear"/>
          </w:tcPr>
          <w:p>
            <w:pPr>
              <w:jc w:val="center"/>
            </w:pPr>
            <w:r>
              <w:rPr>
                <w:rFonts w:ascii="Times New Roman" w:cs="Times New Roman" w:eastAsia="Times New Roman" w:hAnsi="Times New Roman"/>
                <w:b w:val="false"/>
                <w:bCs w:val="false"/>
                <w:color w:val="000000"/>
                <w:sz w:val="20"/>
                <w:szCs w:val="20"/>
              </w:rPr>
              <w:t xml:space="preserve">{{area_total_ha}}</w:t>
            </w:r>
          </w:p>
        </w:tc>
        <w:tc>
          <w:tcPr>
            <w:tcW w:type="dxa" w:w="1000"/>
            <w:shd w:fill="FFFFFF" w:val="clear"/>
          </w:tcPr>
          <w:p>
            <w:pPr>
              <w:jc w:val="center"/>
            </w:pPr>
            <w:r>
              <w:rPr>
                <w:rFonts w:ascii="Times New Roman" w:cs="Times New Roman" w:eastAsia="Times New Roman" w:hAnsi="Times New Roman"/>
                <w:b w:val="false"/>
                <w:bCs w:val="false"/>
                <w:color w:val="000000"/>
                <w:sz w:val="20"/>
                <w:szCs w:val="20"/>
              </w:rPr>
              <w:t xml:space="preserve">100,00%</w:t>
            </w:r>
          </w:p>
        </w:tc>
        <w:tc>
          <w:tcPr>
            <w:tcW w:type="dxa" w:w="1200"/>
            <w:shd w:fill="FFFFFF" w:val="clear"/>
          </w:tcPr>
          <w:p>
            <w:pPr>
              <w:jc w:val="center"/>
            </w:pPr>
            <w:r>
              <w:rPr>
                <w:rFonts w:ascii="Times New Roman" w:cs="Times New Roman" w:eastAsia="Times New Roman" w:hAnsi="Times New Roman"/>
                <w:b w:val="false"/>
                <w:bCs w:val="false"/>
                <w:color w:val="000000"/>
                <w:sz w:val="20"/>
                <w:szCs w:val="20"/>
              </w:rPr>
              <w:t xml:space="preserve"/>
            </w:r>
          </w:p>
        </w:tc>
      </w:tr>
      <w:tr>
        <w:tc>
          <w:tcPr>
            <w:tcW w:type="dxa" w:w="400"/>
            <w:shd w:fill="f5f0e8" w:val="clear"/>
          </w:tcPr>
          <w:p>
            <w:pPr>
              <w:jc w:val="left"/>
            </w:pPr>
            <w:r>
              <w:rPr>
                <w:rFonts w:ascii="Times New Roman" w:cs="Times New Roman" w:eastAsia="Times New Roman" w:hAnsi="Times New Roman"/>
                <w:b w:val="false"/>
                <w:bCs w:val="false"/>
                <w:color w:val="000000"/>
                <w:sz w:val="20"/>
                <w:szCs w:val="20"/>
              </w:rPr>
              <w:t xml:space="preserve"/>
            </w:r>
          </w:p>
        </w:tc>
        <w:tc>
          <w:tcPr>
            <w:tcW w:type="dxa" w:w="2000"/>
            <w:shd w:fill="f5f0e8" w:val="clear"/>
          </w:tcPr>
          <w:p>
            <w:pPr>
              <w:jc w:val="center"/>
            </w:pPr>
            <w:r>
              <w:rPr>
                <w:rFonts w:ascii="Times New Roman" w:cs="Times New Roman" w:eastAsia="Times New Roman" w:hAnsi="Times New Roman"/>
                <w:b w:val="false"/>
                <w:bCs w:val="false"/>
                <w:color w:val="000000"/>
                <w:sz w:val="20"/>
                <w:szCs w:val="20"/>
              </w:rPr>
              <w:t xml:space="preserve">ÁREA COMUM</w:t>
            </w:r>
          </w:p>
        </w:tc>
        <w:tc>
          <w:tcPr>
            <w:tcW w:type="dxa" w:w="1400"/>
            <w:shd w:fill="f5f0e8" w:val="clear"/>
          </w:tcPr>
          <w:p>
            <w:pPr>
              <w:jc w:val="center"/>
            </w:pPr>
            <w:r>
              <w:rPr>
                <w:rFonts w:ascii="Times New Roman" w:cs="Times New Roman" w:eastAsia="Times New Roman" w:hAnsi="Times New Roman"/>
                <w:b w:val="false"/>
                <w:bCs w:val="false"/>
                <w:color w:val="000000"/>
                <w:sz w:val="20"/>
                <w:szCs w:val="20"/>
              </w:rPr>
              <w:t xml:space="preserve"/>
            </w:r>
          </w:p>
        </w:tc>
        <w:tc>
          <w:tcPr>
            <w:tcW w:type="dxa" w:w="1400"/>
            <w:shd w:fill="f5f0e8" w:val="clear"/>
          </w:tcPr>
          <w:p>
            <w:pPr>
              <w:jc w:val="center"/>
            </w:pPr>
            <w:r>
              <w:rPr>
                <w:rFonts w:ascii="Times New Roman" w:cs="Times New Roman" w:eastAsia="Times New Roman" w:hAnsi="Times New Roman"/>
                <w:b w:val="false"/>
                <w:bCs w:val="false"/>
                <w:color w:val="000000"/>
                <w:sz w:val="20"/>
                <w:szCs w:val="20"/>
              </w:rPr>
              <w:t xml:space="preserve">{{area_comum_ha}}</w:t>
            </w:r>
          </w:p>
        </w:tc>
        <w:tc>
          <w:tcPr>
            <w:tcW w:type="dxa" w:w="1000"/>
            <w:shd w:fill="f5f0e8" w:val="clear"/>
          </w:tcPr>
          <w:p>
            <w:pPr>
              <w:jc w:val="center"/>
            </w:pPr>
            <w:r>
              <w:rPr>
                <w:rFonts w:ascii="Times New Roman" w:cs="Times New Roman" w:eastAsia="Times New Roman" w:hAnsi="Times New Roman"/>
                <w:b w:val="false"/>
                <w:bCs w:val="false"/>
                <w:color w:val="000000"/>
                <w:sz w:val="20"/>
                <w:szCs w:val="20"/>
              </w:rPr>
              <w:t xml:space="preserve">Pro rata cotas</w:t>
            </w:r>
          </w:p>
        </w:tc>
        <w:tc>
          <w:tcPr>
            <w:tcW w:type="dxa" w:w="1200"/>
            <w:shd w:fill="f5f0e8" w:val="clear"/>
          </w:tcPr>
          <w:p>
            <w:pPr>
              <w:jc w:val="center"/>
            </w:pPr>
            <w:r>
              <w:rPr>
                <w:rFonts w:ascii="Times New Roman" w:cs="Times New Roman" w:eastAsia="Times New Roman" w:hAnsi="Times New Roman"/>
                <w:b w:val="false"/>
                <w:bCs w:val="false"/>
                <w:color w:val="000000"/>
                <w:sz w:val="20"/>
                <w:szCs w:val="20"/>
              </w:rPr>
              <w:t xml:space="preserve"/>
            </w:r>
          </w:p>
        </w:tc>
      </w:tr>
    </w:tbl>
    <w:p>
      <w:pPr>
        <w:spacing w:after="80"/>
      </w:pPr>
    </w:p>
    <w:p>
      <w:pPr>
        <w:spacing w:after="120" w:line="276"/>
        <w:jc w:val="both"/>
      </w:pPr>
      <w:r>
        <w:rPr>
          <w:rFonts w:ascii="Times New Roman" w:cs="Times New Roman" w:eastAsia="Times New Roman" w:hAnsi="Times New Roman"/>
          <w:b w:val="false"/>
          <w:bCs w:val="false"/>
          <w:i w:val="false"/>
          <w:iCs w:val="false"/>
          <w:sz w:val="24"/>
          <w:szCs w:val="24"/>
        </w:rPr>
        <w:t xml:space="preserve">Parágrafo único. Cada condômino responde, perante os demais e perante terceiros, na proporção de sua cota-parte, salvo disposição expressa em contrário neste instrumento.</w:t>
      </w:r>
    </w:p>
    <w:p>
      <w:pPr>
        <w:spacing w:after="100" w:before="200"/>
        <w:jc w:val="center"/>
      </w:pPr>
      <w:r>
        <w:rPr>
          <w:rFonts w:ascii="Times New Roman" w:cs="Times New Roman" w:eastAsia="Times New Roman" w:hAnsi="Times New Roman"/>
          <w:b/>
          <w:bCs/>
          <w:caps/>
          <w:sz w:val="24"/>
          <w:szCs w:val="24"/>
        </w:rPr>
        <w:t xml:space="preserve">PARTE II — FORMAÇÃO E NATUREZA DO CONDOMÍNIO</w:t>
      </w:r>
    </w:p>
    <w:p>
      <w:pPr>
        <w:spacing w:after="80" w:before="160"/>
      </w:pPr>
      <w:r>
        <w:rPr>
          <w:rFonts w:ascii="Times New Roman" w:cs="Times New Roman" w:eastAsia="Times New Roman" w:hAnsi="Times New Roman"/>
          <w:b/>
          <w:bCs/>
          <w:sz w:val="24"/>
          <w:szCs w:val="24"/>
        </w:rPr>
        <w:t xml:space="preserve">CLÁUSULA SEGUNDA — DA NATUREZA JURÍDICA</w:t>
      </w:r>
    </w:p>
    <w:p>
      <w:pPr>
        <w:spacing w:after="120" w:line="276"/>
        <w:jc w:val="both"/>
      </w:pPr>
      <w:r>
        <w:rPr>
          <w:rFonts w:ascii="Times New Roman" w:cs="Times New Roman" w:eastAsia="Times New Roman" w:hAnsi="Times New Roman"/>
          <w:b w:val="false"/>
          <w:bCs w:val="false"/>
          <w:i w:val="false"/>
          <w:iCs w:val="false"/>
          <w:sz w:val="24"/>
          <w:szCs w:val="24"/>
        </w:rPr>
        <w:t xml:space="preserve">O presente condomínio é de natureza VOLUNTÁRIA e modalidade PRO INDIVISO, nos termos do art. 1.315 do Código Civil, sendo vedada a divisão física do imóvel durante a vigência deste contrato, salvo deliberação unânime dos condôminos em Assembleia Geral.</w:t>
      </w:r>
    </w:p>
    <w:p>
      <w:pPr>
        <w:spacing w:after="120" w:line="276"/>
        <w:jc w:val="both"/>
      </w:pPr>
      <w:r>
        <w:rPr>
          <w:rFonts w:ascii="Times New Roman" w:cs="Times New Roman" w:eastAsia="Times New Roman" w:hAnsi="Times New Roman"/>
          <w:b w:val="false"/>
          <w:bCs w:val="false"/>
          <w:i w:val="false"/>
          <w:iCs w:val="false"/>
          <w:sz w:val="24"/>
          <w:szCs w:val="24"/>
        </w:rPr>
        <w:t xml:space="preserve">§1º. A qualquer tempo, mediante aprovação de condôminos titulares de no mínimo dois terços (2/3) da área total, poderá ser deliberada a conversão para regime PRO DIVISO, com demarcação física das frações, observada a legislação agrária vigente.</w:t>
      </w:r>
    </w:p>
    <w:p>
      <w:pPr>
        <w:spacing w:after="120" w:line="276"/>
        <w:jc w:val="both"/>
      </w:pPr>
      <w:r>
        <w:rPr>
          <w:rFonts w:ascii="Times New Roman" w:cs="Times New Roman" w:eastAsia="Times New Roman" w:hAnsi="Times New Roman"/>
          <w:b w:val="false"/>
          <w:bCs w:val="false"/>
          <w:i w:val="false"/>
          <w:iCs w:val="false"/>
          <w:sz w:val="24"/>
          <w:szCs w:val="24"/>
        </w:rPr>
        <w:t xml:space="preserve">§2º. O condomínio rural ora constituído não possui personalidade jurídica própria. Para fins fiscais e de representação, o condomínio disporá de:</w:t>
      </w:r>
    </w:p>
    <w:p>
      <w:pPr>
        <w:spacing w:after="80" w:line="276"/>
        <w:ind w:left="720"/>
        <w:jc w:val="both"/>
      </w:pPr>
      <w:r>
        <w:rPr>
          <w:rFonts w:ascii="Times New Roman" w:cs="Times New Roman" w:eastAsia="Times New Roman" w:hAnsi="Times New Roman"/>
          <w:sz w:val="24"/>
          <w:szCs w:val="24"/>
        </w:rPr>
        <w:t xml:space="preserve">a) CNPJ próprio, caso a atividade produtiva assim o exija, nos termos da IN RFB nº 1.863/2018, sem que isso confira personalidade jurídica ao condomínio, que permanece como ente despersonalizado nos termos do art. 1.318 do Código Civil;</w:t>
      </w:r>
    </w:p>
    <w:p>
      <w:pPr>
        <w:spacing w:after="80" w:line="276"/>
        <w:ind w:left="720"/>
        <w:jc w:val="both"/>
      </w:pPr>
      <w:r>
        <w:rPr>
          <w:rFonts w:ascii="Times New Roman" w:cs="Times New Roman" w:eastAsia="Times New Roman" w:hAnsi="Times New Roman"/>
          <w:sz w:val="24"/>
          <w:szCs w:val="24"/>
        </w:rPr>
        <w:t xml:space="preserve">b) Inscrição Estadual de Produtor Rural (IEPR) em nome do condomínio ou de cada condômino individualmente, conforme a legislação do Estado de {{uf_imovel}};</w:t>
      </w:r>
    </w:p>
    <w:p>
      <w:pPr>
        <w:spacing w:after="80" w:line="276"/>
        <w:ind w:left="720"/>
        <w:jc w:val="both"/>
      </w:pPr>
      <w:r>
        <w:rPr>
          <w:rFonts w:ascii="Times New Roman" w:cs="Times New Roman" w:eastAsia="Times New Roman" w:hAnsi="Times New Roman"/>
          <w:sz w:val="24"/>
          <w:szCs w:val="24"/>
        </w:rPr>
        <w:t xml:space="preserve">c) Cadastro de Atividade Econômica do Produtor Rural (CAEF), quando aplicável.</w:t>
      </w:r>
    </w:p>
    <w:p>
      <w:pPr>
        <w:spacing w:after="80" w:before="160"/>
      </w:pPr>
      <w:r>
        <w:rPr>
          <w:rFonts w:ascii="Times New Roman" w:cs="Times New Roman" w:eastAsia="Times New Roman" w:hAnsi="Times New Roman"/>
          <w:b/>
          <w:bCs/>
          <w:sz w:val="24"/>
          <w:szCs w:val="24"/>
        </w:rPr>
        <w:t xml:space="preserve">CLÁUSULA TERCEIRA — DAS COTAS-PARTE E APORTES</w:t>
      </w:r>
    </w:p>
    <w:p>
      <w:pPr>
        <w:spacing w:after="120" w:line="276"/>
        <w:jc w:val="both"/>
      </w:pPr>
      <w:r>
        <w:rPr>
          <w:rFonts w:ascii="Times New Roman" w:cs="Times New Roman" w:eastAsia="Times New Roman" w:hAnsi="Times New Roman"/>
          <w:b w:val="false"/>
          <w:bCs w:val="false"/>
          <w:i w:val="false"/>
          <w:iCs w:val="false"/>
          <w:sz w:val="24"/>
          <w:szCs w:val="24"/>
        </w:rPr>
        <w:t xml:space="preserve">As cotas-parte de cada condômino correspondem às áreas individuais descritas na Cláusula Primeira, calculadas proporcionalmente à área individualizada do imóvel, e conferem direito de uso proporcional sobre a área comum.</w:t>
      </w:r>
    </w:p>
    <w:p>
      <w:pPr>
        <w:spacing w:after="120" w:line="276"/>
        <w:jc w:val="both"/>
      </w:pPr>
      <w:r>
        <w:rPr>
          <w:rFonts w:ascii="Times New Roman" w:cs="Times New Roman" w:eastAsia="Times New Roman" w:hAnsi="Times New Roman"/>
          <w:b w:val="false"/>
          <w:bCs w:val="false"/>
          <w:i w:val="false"/>
          <w:iCs w:val="false"/>
          <w:sz w:val="24"/>
          <w:szCs w:val="24"/>
        </w:rPr>
        <w:t xml:space="preserve">§1º. A cota-parte de cada condômino poderá ser integralizada mediante:</w:t>
      </w:r>
    </w:p>
    <w:p>
      <w:pPr>
        <w:spacing w:after="80" w:line="276"/>
        <w:ind w:left="720"/>
        <w:jc w:val="both"/>
      </w:pPr>
      <w:r>
        <w:rPr>
          <w:rFonts w:ascii="Times New Roman" w:cs="Times New Roman" w:eastAsia="Times New Roman" w:hAnsi="Times New Roman"/>
          <w:sz w:val="24"/>
          <w:szCs w:val="24"/>
        </w:rPr>
        <w:t xml:space="preserve">i. Aporte em dinheiro, no valor de R$ {{aporte_condomino_1}} (condômino 1), R$ {{aporte_condomino_2}} (condômino 2) e R$ {{aporte_condomino_3}} (condômino 3);</w:t>
      </w:r>
    </w:p>
    <w:p>
      <w:pPr>
        <w:spacing w:after="80" w:line="276"/>
        <w:ind w:left="720"/>
        <w:jc w:val="both"/>
      </w:pPr>
      <w:r>
        <w:rPr>
          <w:rFonts w:ascii="Times New Roman" w:cs="Times New Roman" w:eastAsia="Times New Roman" w:hAnsi="Times New Roman"/>
          <w:sz w:val="24"/>
          <w:szCs w:val="24"/>
        </w:rPr>
        <w:t xml:space="preserve">ii. Transferência de bens (máquinas, equipamentos, sementes, animais), avaliados em laudo técnico subscrito por profissional habilitado;</w:t>
      </w:r>
    </w:p>
    <w:p>
      <w:pPr>
        <w:spacing w:after="80" w:line="276"/>
        <w:ind w:left="720"/>
        <w:jc w:val="both"/>
      </w:pPr>
      <w:r>
        <w:rPr>
          <w:rFonts w:ascii="Times New Roman" w:cs="Times New Roman" w:eastAsia="Times New Roman" w:hAnsi="Times New Roman"/>
          <w:sz w:val="24"/>
          <w:szCs w:val="24"/>
        </w:rPr>
        <w:t xml:space="preserve">iii. Prestação de serviços, avaliados conforme tabela aprovada em Assembleia Geral.</w:t>
      </w:r>
    </w:p>
    <w:p>
      <w:pPr>
        <w:spacing w:after="120" w:line="276"/>
        <w:jc w:val="both"/>
      </w:pPr>
      <w:r>
        <w:rPr>
          <w:rFonts w:ascii="Times New Roman" w:cs="Times New Roman" w:eastAsia="Times New Roman" w:hAnsi="Times New Roman"/>
          <w:b w:val="false"/>
          <w:bCs w:val="false"/>
          <w:i w:val="false"/>
          <w:iCs w:val="false"/>
          <w:sz w:val="24"/>
          <w:szCs w:val="24"/>
        </w:rPr>
        <w:t xml:space="preserve">§2º. Os aportes em bens e serviços serão registrados em ata de Assembleia Geral e integrarão o balanço patrimonial do condomínio.</w:t>
      </w:r>
    </w:p>
    <w:p>
      <w:pPr>
        <w:spacing w:after="100" w:before="200"/>
        <w:jc w:val="center"/>
      </w:pPr>
      <w:r>
        <w:rPr>
          <w:rFonts w:ascii="Times New Roman" w:cs="Times New Roman" w:eastAsia="Times New Roman" w:hAnsi="Times New Roman"/>
          <w:b/>
          <w:bCs/>
          <w:caps/>
          <w:sz w:val="24"/>
          <w:szCs w:val="24"/>
        </w:rPr>
        <w:t xml:space="preserve">PARTE III — OBJETO, VIGÊNCIA E ATIVIDADE</w:t>
      </w:r>
    </w:p>
    <w:p>
      <w:pPr>
        <w:spacing w:after="80" w:before="160"/>
      </w:pPr>
      <w:r>
        <w:rPr>
          <w:rFonts w:ascii="Times New Roman" w:cs="Times New Roman" w:eastAsia="Times New Roman" w:hAnsi="Times New Roman"/>
          <w:b/>
          <w:bCs/>
          <w:sz w:val="24"/>
          <w:szCs w:val="24"/>
        </w:rPr>
        <w:t xml:space="preserve">CLÁUSULA QUARTA — DO OBJETO</w:t>
      </w:r>
    </w:p>
    <w:p>
      <w:pPr>
        <w:spacing w:after="120" w:line="276"/>
        <w:jc w:val="both"/>
      </w:pPr>
      <w:r>
        <w:rPr>
          <w:rFonts w:ascii="Times New Roman" w:cs="Times New Roman" w:eastAsia="Times New Roman" w:hAnsi="Times New Roman"/>
          <w:b w:val="false"/>
          <w:bCs w:val="false"/>
          <w:i w:val="false"/>
          <w:iCs w:val="false"/>
          <w:sz w:val="24"/>
          <w:szCs w:val="24"/>
        </w:rPr>
        <w:t xml:space="preserve">O presente contrato tem por objeto a gestão conjunta do imóvel rural denominado "{{nome_imovel}}", com área total de {{area_total_imovel_ha}} ha, sendo {{area_total_ha}} ha de uso individualizado por condômino e {{area_comum_ha}} ha de área comum, destinado à exploração de {{tipo_exploracao}}, podendo os condôminos exercer, em suas respectivas frações e na área comum, as atividades previstas no Plano de Safra Anual.</w:t>
      </w:r>
    </w:p>
    <w:p>
      <w:pPr>
        <w:spacing w:after="80" w:before="160"/>
      </w:pPr>
      <w:r>
        <w:rPr>
          <w:rFonts w:ascii="Times New Roman" w:cs="Times New Roman" w:eastAsia="Times New Roman" w:hAnsi="Times New Roman"/>
          <w:b/>
          <w:bCs/>
          <w:sz w:val="24"/>
          <w:szCs w:val="24"/>
        </w:rPr>
        <w:t xml:space="preserve">CLÁUSULA QUINTA — DA VIGÊNCIA</w:t>
      </w:r>
    </w:p>
    <w:p>
      <w:pPr>
        <w:spacing w:after="120" w:line="276"/>
        <w:jc w:val="both"/>
      </w:pPr>
      <w:r>
        <w:rPr>
          <w:rFonts w:ascii="Times New Roman" w:cs="Times New Roman" w:eastAsia="Times New Roman" w:hAnsi="Times New Roman"/>
          <w:b w:val="false"/>
          <w:bCs w:val="false"/>
          <w:i w:val="false"/>
          <w:iCs w:val="false"/>
          <w:sz w:val="24"/>
          <w:szCs w:val="24"/>
        </w:rPr>
        <w:t xml:space="preserve">O presente contrato vigorará pelo prazo de {{prazo_vigencia_anos}} ({{prazo_vigencia_anos_extenso}}) anos, de {{data_inicio}} a {{data_fim}}, renovando-se automaticamente por igual período, salvo denúncia expressa de qualquer das partes com antecedência mínima de 180 (cento e oitenta) dias do vencimento.</w:t>
      </w:r>
    </w:p>
    <w:p>
      <w:pPr>
        <w:spacing w:after="120" w:line="276"/>
        <w:jc w:val="both"/>
      </w:pPr>
      <w:r>
        <w:rPr>
          <w:rFonts w:ascii="Times New Roman" w:cs="Times New Roman" w:eastAsia="Times New Roman" w:hAnsi="Times New Roman"/>
          <w:b w:val="false"/>
          <w:bCs w:val="false"/>
          <w:i w:val="false"/>
          <w:iCs w:val="false"/>
          <w:sz w:val="24"/>
          <w:szCs w:val="24"/>
        </w:rPr>
        <w:t xml:space="preserve">Parágrafo único. O prazo mínimo de vigência deste contrato observa o disposto no art. 95, §1º do Estatuto da Terra (Lei 4.504/1964) e no art. 13 do Decreto nº 59.566/1966.</w:t>
      </w:r>
    </w:p>
    <w:p>
      <w:pPr>
        <w:spacing w:after="100" w:before="200"/>
        <w:jc w:val="center"/>
      </w:pPr>
      <w:r>
        <w:rPr>
          <w:rFonts w:ascii="Times New Roman" w:cs="Times New Roman" w:eastAsia="Times New Roman" w:hAnsi="Times New Roman"/>
          <w:b/>
          <w:bCs/>
          <w:caps/>
          <w:sz w:val="24"/>
          <w:szCs w:val="24"/>
        </w:rPr>
        <w:t xml:space="preserve">PARTE IV — ÁREA COMUM E ZONAS DE USO</w:t>
      </w:r>
    </w:p>
    <w:p>
      <w:pPr>
        <w:spacing w:after="80" w:before="160"/>
      </w:pPr>
      <w:r>
        <w:rPr>
          <w:rFonts w:ascii="Times New Roman" w:cs="Times New Roman" w:eastAsia="Times New Roman" w:hAnsi="Times New Roman"/>
          <w:b/>
          <w:bCs/>
          <w:sz w:val="24"/>
          <w:szCs w:val="24"/>
        </w:rPr>
        <w:t xml:space="preserve">CLÁUSULA SEXTA — DA ÁREA COMUM E SUAS ZONAS</w:t>
      </w:r>
    </w:p>
    <w:p>
      <w:pPr>
        <w:spacing w:after="120" w:line="276"/>
        <w:jc w:val="both"/>
      </w:pPr>
      <w:r>
        <w:rPr>
          <w:rFonts w:ascii="Times New Roman" w:cs="Times New Roman" w:eastAsia="Times New Roman" w:hAnsi="Times New Roman"/>
          <w:b w:val="false"/>
          <w:bCs w:val="false"/>
          <w:i w:val="false"/>
          <w:iCs w:val="false"/>
          <w:sz w:val="24"/>
          <w:szCs w:val="24"/>
        </w:rPr>
        <w:t xml:space="preserve">A área comum de {{area_comum_ha}} ha, integrante do imóvel descrito no cabeçalho, é de uso compartilhado entre todos os condôminos, na proporção de suas cotas-parte, e fica organizada em duas zonas distintas, conforme o quadro abaixo:</w:t>
      </w:r>
    </w:p>
    <w:p>
      <w:pPr>
        <w:spacing w:after="80"/>
      </w:pPr>
    </w:p>
    <w:tbl>
      <w:tblPr>
        <w:tblW w:type="dxa" w:w="8200"/>
        <w:tblBorders>
          <w:top w:val="single" w:color="333333" w:sz="4"/>
          <w:left w:val="single" w:color="333333" w:sz="4"/>
          <w:bottom w:val="single" w:color="333333" w:sz="4"/>
          <w:right w:val="single" w:color="333333" w:sz="4"/>
          <w:insideH w:val="single" w:color="auto" w:sz="4"/>
          <w:insideV w:val="single" w:color="auto" w:sz="4"/>
        </w:tblBorders>
      </w:tblPr>
      <w:tblGrid>
        <w:gridCol w:w="2200"/>
        <w:gridCol w:w="1200"/>
        <w:gridCol w:w="2800"/>
        <w:gridCol w:w="2000"/>
      </w:tblGrid>
      <w:tr>
        <w:trPr>
          <w:tblHeader/>
        </w:trPr>
        <w:tc>
          <w:tcPr>
            <w:tcW w:type="dxa" w:w="2200"/>
            <w:shd w:fill="1a2e1a" w:val="clear"/>
          </w:tcPr>
          <w:p>
            <w:pPr>
              <w:jc w:val="center"/>
            </w:pPr>
            <w:r>
              <w:rPr>
                <w:rFonts w:ascii="Times New Roman" w:cs="Times New Roman" w:eastAsia="Times New Roman" w:hAnsi="Times New Roman"/>
                <w:b/>
                <w:bCs/>
                <w:color w:val="FFFFFF"/>
                <w:sz w:val="20"/>
                <w:szCs w:val="20"/>
              </w:rPr>
              <w:t xml:space="preserve">Zona</w:t>
            </w:r>
          </w:p>
        </w:tc>
        <w:tc>
          <w:tcPr>
            <w:tcW w:type="dxa" w:w="1200"/>
            <w:shd w:fill="1a2e1a" w:val="clear"/>
          </w:tcPr>
          <w:p>
            <w:pPr>
              <w:jc w:val="center"/>
            </w:pPr>
            <w:r>
              <w:rPr>
                <w:rFonts w:ascii="Times New Roman" w:cs="Times New Roman" w:eastAsia="Times New Roman" w:hAnsi="Times New Roman"/>
                <w:b/>
                <w:bCs/>
                <w:color w:val="FFFFFF"/>
                <w:sz w:val="20"/>
                <w:szCs w:val="20"/>
              </w:rPr>
              <w:t xml:space="preserve">Área Estimada (ha)</w:t>
            </w:r>
          </w:p>
        </w:tc>
        <w:tc>
          <w:tcPr>
            <w:tcW w:type="dxa" w:w="2800"/>
            <w:shd w:fill="1a2e1a" w:val="clear"/>
          </w:tcPr>
          <w:p>
            <w:pPr>
              <w:jc w:val="center"/>
            </w:pPr>
            <w:r>
              <w:rPr>
                <w:rFonts w:ascii="Times New Roman" w:cs="Times New Roman" w:eastAsia="Times New Roman" w:hAnsi="Times New Roman"/>
                <w:b/>
                <w:bCs/>
                <w:color w:val="FFFFFF"/>
                <w:sz w:val="20"/>
                <w:szCs w:val="20"/>
              </w:rPr>
              <w:t xml:space="preserve">Destinação</w:t>
            </w:r>
          </w:p>
        </w:tc>
        <w:tc>
          <w:tcPr>
            <w:tcW w:type="dxa" w:w="2000"/>
            <w:shd w:fill="1a2e1a" w:val="clear"/>
          </w:tcPr>
          <w:p>
            <w:pPr>
              <w:jc w:val="center"/>
            </w:pPr>
            <w:r>
              <w:rPr>
                <w:rFonts w:ascii="Times New Roman" w:cs="Times New Roman" w:eastAsia="Times New Roman" w:hAnsi="Times New Roman"/>
                <w:b/>
                <w:bCs/>
                <w:color w:val="FFFFFF"/>
                <w:sz w:val="20"/>
                <w:szCs w:val="20"/>
              </w:rPr>
              <w:t xml:space="preserve">Quorum para Alteração</w:t>
            </w:r>
          </w:p>
        </w:tc>
      </w:tr>
      <w:tr>
        <w:tc>
          <w:tcPr>
            <w:tcW w:type="dxa" w:w="2200"/>
            <w:shd w:fill="d4e8d4" w:val="clear"/>
          </w:tcPr>
          <w:p>
            <w:pPr>
              <w:jc w:val="left"/>
            </w:pPr>
            <w:r>
              <w:rPr>
                <w:rFonts w:ascii="Times New Roman" w:cs="Times New Roman" w:eastAsia="Times New Roman" w:hAnsi="Times New Roman"/>
                <w:b/>
                <w:bCs/>
                <w:color w:val="000000"/>
                <w:sz w:val="20"/>
                <w:szCs w:val="20"/>
              </w:rPr>
              <w:t xml:space="preserve">ZONAS FIXAS — ~40 ha</w:t>
            </w:r>
          </w:p>
        </w:tc>
        <w:tc>
          <w:tcPr>
            <w:tcW w:type="dxa" w:w="1200"/>
            <w:shd w:fill="d4e8d4" w:val="clear"/>
          </w:tcPr>
          <w:p>
            <w:pPr>
              <w:jc w:val="center"/>
            </w:pPr>
            <w:r>
              <w:rPr>
                <w:rFonts w:ascii="Times New Roman" w:cs="Times New Roman" w:eastAsia="Times New Roman" w:hAnsi="Times New Roman"/>
                <w:b/>
                <w:bCs/>
                <w:color w:val="000000"/>
                <w:sz w:val="20"/>
                <w:szCs w:val="20"/>
              </w:rPr>
              <w:t xml:space="preserve"/>
            </w:r>
          </w:p>
        </w:tc>
        <w:tc>
          <w:tcPr>
            <w:tcW w:type="dxa" w:w="2800"/>
            <w:shd w:fill="d4e8d4" w:val="clear"/>
          </w:tcPr>
          <w:p>
            <w:pPr>
              <w:jc w:val="center"/>
            </w:pPr>
            <w:r>
              <w:rPr>
                <w:rFonts w:ascii="Times New Roman" w:cs="Times New Roman" w:eastAsia="Times New Roman" w:hAnsi="Times New Roman"/>
                <w:b/>
                <w:bCs/>
                <w:color w:val="000000"/>
                <w:sz w:val="20"/>
                <w:szCs w:val="20"/>
              </w:rPr>
              <w:t xml:space="preserve"/>
            </w:r>
          </w:p>
        </w:tc>
        <w:tc>
          <w:tcPr>
            <w:tcW w:type="dxa" w:w="2000"/>
            <w:shd w:fill="d4e8d4" w:val="clear"/>
          </w:tcPr>
          <w:p>
            <w:pPr>
              <w:jc w:val="center"/>
            </w:pPr>
            <w:r>
              <w:rPr>
                <w:rFonts w:ascii="Times New Roman" w:cs="Times New Roman" w:eastAsia="Times New Roman" w:hAnsi="Times New Roman"/>
                <w:b/>
                <w:bCs/>
                <w:color w:val="8B0000"/>
                <w:sz w:val="20"/>
                <w:szCs w:val="20"/>
              </w:rPr>
              <w:t xml:space="preserve">UNANIMIDADE</w:t>
            </w:r>
          </w:p>
        </w:tc>
      </w:tr>
      <w:tr>
        <w:tc>
          <w:tcPr>
            <w:tcW w:type="dxa" w:w="2200"/>
            <w:shd w:fill="FFFFFF" w:val="clear"/>
          </w:tcPr>
          <w:p>
            <w:pPr>
              <w:jc w:val="left"/>
            </w:pPr>
            <w:r>
              <w:rPr>
                <w:rFonts w:ascii="Times New Roman" w:cs="Times New Roman" w:eastAsia="Times New Roman" w:hAnsi="Times New Roman"/>
                <w:b w:val="false"/>
                <w:bCs w:val="false"/>
                <w:color w:val="000000"/>
                <w:sz w:val="20"/>
                <w:szCs w:val="20"/>
              </w:rPr>
              <w:t xml:space="preserve">Açude / barragem</w:t>
            </w:r>
          </w:p>
        </w:tc>
        <w:tc>
          <w:tcPr>
            <w:tcW w:type="dxa" w:w="1200"/>
            <w:shd w:fill="FFFFFF" w:val="clear"/>
          </w:tcPr>
          <w:p>
            <w:pPr>
              <w:jc w:val="center"/>
            </w:pPr>
            <w:r>
              <w:rPr>
                <w:rFonts w:ascii="Times New Roman" w:cs="Times New Roman" w:eastAsia="Times New Roman" w:hAnsi="Times New Roman"/>
                <w:b w:val="false"/>
                <w:bCs w:val="false"/>
                <w:color w:val="000000"/>
                <w:sz w:val="20"/>
                <w:szCs w:val="20"/>
              </w:rPr>
              <w:t xml:space="preserve">~5 ha</w:t>
            </w:r>
          </w:p>
        </w:tc>
        <w:tc>
          <w:tcPr>
            <w:tcW w:type="dxa" w:w="2800"/>
            <w:shd w:fill="FFFFFF" w:val="clear"/>
          </w:tcPr>
          <w:p>
            <w:pPr>
              <w:jc w:val="center"/>
            </w:pPr>
            <w:r>
              <w:rPr>
                <w:rFonts w:ascii="Times New Roman" w:cs="Times New Roman" w:eastAsia="Times New Roman" w:hAnsi="Times New Roman"/>
                <w:b w:val="false"/>
                <w:bCs w:val="false"/>
                <w:color w:val="000000"/>
                <w:sz w:val="20"/>
                <w:szCs w:val="20"/>
              </w:rPr>
              <w:t xml:space="preserve">Uso comum — pesca, irrigação, dessedentação</w:t>
            </w:r>
          </w:p>
        </w:tc>
        <w:tc>
          <w:tcPr>
            <w:tcW w:type="dxa" w:w="2000"/>
            <w:shd w:fill="FFFFFF" w:val="clear"/>
          </w:tcPr>
          <w:p>
            <w:pPr>
              <w:jc w:val="center"/>
            </w:pPr>
            <w:r>
              <w:rPr>
                <w:rFonts w:ascii="Times New Roman" w:cs="Times New Roman" w:eastAsia="Times New Roman" w:hAnsi="Times New Roman"/>
                <w:b w:val="false"/>
                <w:bCs w:val="false"/>
                <w:color w:val="000000"/>
                <w:sz w:val="20"/>
                <w:szCs w:val="20"/>
              </w:rPr>
              <w:t xml:space="preserve">Unanimidade</w:t>
            </w:r>
          </w:p>
        </w:tc>
      </w:tr>
      <w:tr>
        <w:tc>
          <w:tcPr>
            <w:tcW w:type="dxa" w:w="2200"/>
            <w:shd w:fill="f5f0e8" w:val="clear"/>
          </w:tcPr>
          <w:p>
            <w:pPr>
              <w:jc w:val="left"/>
            </w:pPr>
            <w:r>
              <w:rPr>
                <w:rFonts w:ascii="Times New Roman" w:cs="Times New Roman" w:eastAsia="Times New Roman" w:hAnsi="Times New Roman"/>
                <w:b w:val="false"/>
                <w:bCs w:val="false"/>
                <w:color w:val="000000"/>
                <w:sz w:val="20"/>
                <w:szCs w:val="20"/>
              </w:rPr>
              <w:t xml:space="preserve">Áreas de Preservação Permanente (APPs)</w:t>
            </w:r>
          </w:p>
        </w:tc>
        <w:tc>
          <w:tcPr>
            <w:tcW w:type="dxa" w:w="1200"/>
            <w:shd w:fill="f5f0e8" w:val="clear"/>
          </w:tcPr>
          <w:p>
            <w:pPr>
              <w:jc w:val="center"/>
            </w:pPr>
            <w:r>
              <w:rPr>
                <w:rFonts w:ascii="Times New Roman" w:cs="Times New Roman" w:eastAsia="Times New Roman" w:hAnsi="Times New Roman"/>
                <w:b w:val="false"/>
                <w:bCs w:val="false"/>
                <w:color w:val="000000"/>
                <w:sz w:val="20"/>
                <w:szCs w:val="20"/>
              </w:rPr>
              <w:t xml:space="preserve">~10 ha</w:t>
            </w:r>
          </w:p>
        </w:tc>
        <w:tc>
          <w:tcPr>
            <w:tcW w:type="dxa" w:w="2800"/>
            <w:shd w:fill="f5f0e8" w:val="clear"/>
          </w:tcPr>
          <w:p>
            <w:pPr>
              <w:jc w:val="center"/>
            </w:pPr>
            <w:r>
              <w:rPr>
                <w:rFonts w:ascii="Times New Roman" w:cs="Times New Roman" w:eastAsia="Times New Roman" w:hAnsi="Times New Roman"/>
                <w:b w:val="false"/>
                <w:bCs w:val="false"/>
                <w:color w:val="000000"/>
                <w:sz w:val="20"/>
                <w:szCs w:val="20"/>
              </w:rPr>
              <w:t xml:space="preserve">Preservação ambiental obrigatória</w:t>
            </w:r>
          </w:p>
        </w:tc>
        <w:tc>
          <w:tcPr>
            <w:tcW w:type="dxa" w:w="2000"/>
            <w:shd w:fill="f5f0e8" w:val="clear"/>
          </w:tcPr>
          <w:p>
            <w:pPr>
              <w:jc w:val="center"/>
            </w:pPr>
            <w:r>
              <w:rPr>
                <w:rFonts w:ascii="Times New Roman" w:cs="Times New Roman" w:eastAsia="Times New Roman" w:hAnsi="Times New Roman"/>
                <w:b w:val="false"/>
                <w:bCs w:val="false"/>
                <w:color w:val="000000"/>
                <w:sz w:val="20"/>
                <w:szCs w:val="20"/>
              </w:rPr>
              <w:t xml:space="preserve">Unanimidade</w:t>
            </w:r>
          </w:p>
        </w:tc>
      </w:tr>
      <w:tr>
        <w:tc>
          <w:tcPr>
            <w:tcW w:type="dxa" w:w="2200"/>
            <w:shd w:fill="FFFFFF" w:val="clear"/>
          </w:tcPr>
          <w:p>
            <w:pPr>
              <w:jc w:val="left"/>
            </w:pPr>
            <w:r>
              <w:rPr>
                <w:rFonts w:ascii="Times New Roman" w:cs="Times New Roman" w:eastAsia="Times New Roman" w:hAnsi="Times New Roman"/>
                <w:b w:val="false"/>
                <w:bCs w:val="false"/>
                <w:color w:val="000000"/>
                <w:sz w:val="20"/>
                <w:szCs w:val="20"/>
              </w:rPr>
              <w:t xml:space="preserve">Reserva Legal (RL)</w:t>
            </w:r>
          </w:p>
        </w:tc>
        <w:tc>
          <w:tcPr>
            <w:tcW w:type="dxa" w:w="1200"/>
            <w:shd w:fill="FFFFFF" w:val="clear"/>
          </w:tcPr>
          <w:p>
            <w:pPr>
              <w:jc w:val="center"/>
            </w:pPr>
            <w:r>
              <w:rPr>
                <w:rFonts w:ascii="Times New Roman" w:cs="Times New Roman" w:eastAsia="Times New Roman" w:hAnsi="Times New Roman"/>
                <w:b w:val="false"/>
                <w:bCs w:val="false"/>
                <w:color w:val="000000"/>
                <w:sz w:val="20"/>
                <w:szCs w:val="20"/>
              </w:rPr>
              <w:t xml:space="preserve">~15 ha</w:t>
            </w:r>
          </w:p>
        </w:tc>
        <w:tc>
          <w:tcPr>
            <w:tcW w:type="dxa" w:w="2800"/>
            <w:shd w:fill="FFFFFF" w:val="clear"/>
          </w:tcPr>
          <w:p>
            <w:pPr>
              <w:jc w:val="center"/>
            </w:pPr>
            <w:r>
              <w:rPr>
                <w:rFonts w:ascii="Times New Roman" w:cs="Times New Roman" w:eastAsia="Times New Roman" w:hAnsi="Times New Roman"/>
                <w:b w:val="false"/>
                <w:bCs w:val="false"/>
                <w:color w:val="000000"/>
                <w:sz w:val="20"/>
                <w:szCs w:val="20"/>
              </w:rPr>
              <w:t xml:space="preserve">Preservação florestal obrigatória</w:t>
            </w:r>
          </w:p>
        </w:tc>
        <w:tc>
          <w:tcPr>
            <w:tcW w:type="dxa" w:w="2000"/>
            <w:shd w:fill="FFFFFF" w:val="clear"/>
          </w:tcPr>
          <w:p>
            <w:pPr>
              <w:jc w:val="center"/>
            </w:pPr>
            <w:r>
              <w:rPr>
                <w:rFonts w:ascii="Times New Roman" w:cs="Times New Roman" w:eastAsia="Times New Roman" w:hAnsi="Times New Roman"/>
                <w:b w:val="false"/>
                <w:bCs w:val="false"/>
                <w:color w:val="000000"/>
                <w:sz w:val="20"/>
                <w:szCs w:val="20"/>
              </w:rPr>
              <w:t xml:space="preserve">Unanimidade</w:t>
            </w:r>
          </w:p>
        </w:tc>
      </w:tr>
      <w:tr>
        <w:tc>
          <w:tcPr>
            <w:tcW w:type="dxa" w:w="2200"/>
            <w:shd w:fill="f5f0e8" w:val="clear"/>
          </w:tcPr>
          <w:p>
            <w:pPr>
              <w:jc w:val="left"/>
            </w:pPr>
            <w:r>
              <w:rPr>
                <w:rFonts w:ascii="Times New Roman" w:cs="Times New Roman" w:eastAsia="Times New Roman" w:hAnsi="Times New Roman"/>
                <w:b w:val="false"/>
                <w:bCs w:val="false"/>
                <w:color w:val="000000"/>
                <w:sz w:val="20"/>
                <w:szCs w:val="20"/>
              </w:rPr>
              <w:t xml:space="preserve">Sede, estradas internas, cercas divisórias</w:t>
            </w:r>
          </w:p>
        </w:tc>
        <w:tc>
          <w:tcPr>
            <w:tcW w:type="dxa" w:w="1200"/>
            <w:shd w:fill="f5f0e8" w:val="clear"/>
          </w:tcPr>
          <w:p>
            <w:pPr>
              <w:jc w:val="center"/>
            </w:pPr>
            <w:r>
              <w:rPr>
                <w:rFonts w:ascii="Times New Roman" w:cs="Times New Roman" w:eastAsia="Times New Roman" w:hAnsi="Times New Roman"/>
                <w:b w:val="false"/>
                <w:bCs w:val="false"/>
                <w:color w:val="000000"/>
                <w:sz w:val="20"/>
                <w:szCs w:val="20"/>
              </w:rPr>
              <w:t xml:space="preserve">~5 ha</w:t>
            </w:r>
          </w:p>
        </w:tc>
        <w:tc>
          <w:tcPr>
            <w:tcW w:type="dxa" w:w="2800"/>
            <w:shd w:fill="f5f0e8" w:val="clear"/>
          </w:tcPr>
          <w:p>
            <w:pPr>
              <w:jc w:val="center"/>
            </w:pPr>
            <w:r>
              <w:rPr>
                <w:rFonts w:ascii="Times New Roman" w:cs="Times New Roman" w:eastAsia="Times New Roman" w:hAnsi="Times New Roman"/>
                <w:b w:val="false"/>
                <w:bCs w:val="false"/>
                <w:color w:val="000000"/>
                <w:sz w:val="20"/>
                <w:szCs w:val="20"/>
              </w:rPr>
              <w:t xml:space="preserve">Infraestrutura e acesso comum</w:t>
            </w:r>
          </w:p>
        </w:tc>
        <w:tc>
          <w:tcPr>
            <w:tcW w:type="dxa" w:w="2000"/>
            <w:shd w:fill="f5f0e8" w:val="clear"/>
          </w:tcPr>
          <w:p>
            <w:pPr>
              <w:jc w:val="center"/>
            </w:pPr>
            <w:r>
              <w:rPr>
                <w:rFonts w:ascii="Times New Roman" w:cs="Times New Roman" w:eastAsia="Times New Roman" w:hAnsi="Times New Roman"/>
                <w:b w:val="false"/>
                <w:bCs w:val="false"/>
                <w:color w:val="000000"/>
                <w:sz w:val="20"/>
                <w:szCs w:val="20"/>
              </w:rPr>
              <w:t xml:space="preserve">Unanimidade</w:t>
            </w:r>
          </w:p>
        </w:tc>
      </w:tr>
      <w:tr>
        <w:tc>
          <w:tcPr>
            <w:tcW w:type="dxa" w:w="2200"/>
            <w:shd w:fill="FFFFFF" w:val="clear"/>
          </w:tcPr>
          <w:p>
            <w:pPr>
              <w:jc w:val="left"/>
            </w:pPr>
            <w:r>
              <w:rPr>
                <w:rFonts w:ascii="Times New Roman" w:cs="Times New Roman" w:eastAsia="Times New Roman" w:hAnsi="Times New Roman"/>
                <w:b w:val="false"/>
                <w:bCs w:val="false"/>
                <w:color w:val="000000"/>
                <w:sz w:val="20"/>
                <w:szCs w:val="20"/>
              </w:rPr>
              <w:t xml:space="preserve">Matas ciliares e nascentes</w:t>
            </w:r>
          </w:p>
        </w:tc>
        <w:tc>
          <w:tcPr>
            <w:tcW w:type="dxa" w:w="1200"/>
            <w:shd w:fill="FFFFFF" w:val="clear"/>
          </w:tcPr>
          <w:p>
            <w:pPr>
              <w:jc w:val="center"/>
            </w:pPr>
            <w:r>
              <w:rPr>
                <w:rFonts w:ascii="Times New Roman" w:cs="Times New Roman" w:eastAsia="Times New Roman" w:hAnsi="Times New Roman"/>
                <w:b w:val="false"/>
                <w:bCs w:val="false"/>
                <w:color w:val="000000"/>
                <w:sz w:val="20"/>
                <w:szCs w:val="20"/>
              </w:rPr>
              <w:t xml:space="preserve">~5 ha</w:t>
            </w:r>
          </w:p>
        </w:tc>
        <w:tc>
          <w:tcPr>
            <w:tcW w:type="dxa" w:w="2800"/>
            <w:shd w:fill="FFFFFF" w:val="clear"/>
          </w:tcPr>
          <w:p>
            <w:pPr>
              <w:jc w:val="center"/>
            </w:pPr>
            <w:r>
              <w:rPr>
                <w:rFonts w:ascii="Times New Roman" w:cs="Times New Roman" w:eastAsia="Times New Roman" w:hAnsi="Times New Roman"/>
                <w:b w:val="false"/>
                <w:bCs w:val="false"/>
                <w:color w:val="000000"/>
                <w:sz w:val="20"/>
                <w:szCs w:val="20"/>
              </w:rPr>
              <w:t xml:space="preserve">Preservação permanente</w:t>
            </w:r>
          </w:p>
        </w:tc>
        <w:tc>
          <w:tcPr>
            <w:tcW w:type="dxa" w:w="2000"/>
            <w:shd w:fill="FFFFFF" w:val="clear"/>
          </w:tcPr>
          <w:p>
            <w:pPr>
              <w:jc w:val="center"/>
            </w:pPr>
            <w:r>
              <w:rPr>
                <w:rFonts w:ascii="Times New Roman" w:cs="Times New Roman" w:eastAsia="Times New Roman" w:hAnsi="Times New Roman"/>
                <w:b w:val="false"/>
                <w:bCs w:val="false"/>
                <w:color w:val="000000"/>
                <w:sz w:val="20"/>
                <w:szCs w:val="20"/>
              </w:rPr>
              <w:t xml:space="preserve">Unanimidade</w:t>
            </w:r>
          </w:p>
        </w:tc>
      </w:tr>
      <w:tr>
        <w:tc>
          <w:tcPr>
            <w:tcW w:type="dxa" w:w="2200"/>
            <w:shd w:fill="d4e8d4" w:val="clear"/>
          </w:tcPr>
          <w:p>
            <w:pPr>
              <w:jc w:val="left"/>
            </w:pPr>
            <w:r>
              <w:rPr>
                <w:rFonts w:ascii="Times New Roman" w:cs="Times New Roman" w:eastAsia="Times New Roman" w:hAnsi="Times New Roman"/>
                <w:b/>
                <w:bCs/>
                <w:color w:val="000000"/>
                <w:sz w:val="20"/>
                <w:szCs w:val="20"/>
              </w:rPr>
              <w:t xml:space="preserve">ZONAS FLEXÍVEIS — ~65 ha</w:t>
            </w:r>
          </w:p>
        </w:tc>
        <w:tc>
          <w:tcPr>
            <w:tcW w:type="dxa" w:w="1200"/>
            <w:shd w:fill="d4e8d4" w:val="clear"/>
          </w:tcPr>
          <w:p>
            <w:pPr>
              <w:jc w:val="center"/>
            </w:pPr>
            <w:r>
              <w:rPr>
                <w:rFonts w:ascii="Times New Roman" w:cs="Times New Roman" w:eastAsia="Times New Roman" w:hAnsi="Times New Roman"/>
                <w:b/>
                <w:bCs/>
                <w:color w:val="000000"/>
                <w:sz w:val="20"/>
                <w:szCs w:val="20"/>
              </w:rPr>
              <w:t xml:space="preserve"/>
            </w:r>
          </w:p>
        </w:tc>
        <w:tc>
          <w:tcPr>
            <w:tcW w:type="dxa" w:w="2800"/>
            <w:shd w:fill="d4e8d4" w:val="clear"/>
          </w:tcPr>
          <w:p>
            <w:pPr>
              <w:jc w:val="center"/>
            </w:pPr>
            <w:r>
              <w:rPr>
                <w:rFonts w:ascii="Times New Roman" w:cs="Times New Roman" w:eastAsia="Times New Roman" w:hAnsi="Times New Roman"/>
                <w:b/>
                <w:bCs/>
                <w:color w:val="000000"/>
                <w:sz w:val="20"/>
                <w:szCs w:val="20"/>
              </w:rPr>
              <w:t xml:space="preserve"/>
            </w:r>
          </w:p>
        </w:tc>
        <w:tc>
          <w:tcPr>
            <w:tcW w:type="dxa" w:w="2000"/>
            <w:shd w:fill="d4e8d4" w:val="clear"/>
          </w:tcPr>
          <w:p>
            <w:pPr>
              <w:jc w:val="center"/>
            </w:pPr>
            <w:r>
              <w:rPr>
                <w:rFonts w:ascii="Times New Roman" w:cs="Times New Roman" w:eastAsia="Times New Roman" w:hAnsi="Times New Roman"/>
                <w:b/>
                <w:bCs/>
                <w:color w:val="000000"/>
                <w:sz w:val="20"/>
                <w:szCs w:val="20"/>
              </w:rPr>
              <w:t xml:space="preserve">Maioria simples</w:t>
            </w:r>
          </w:p>
        </w:tc>
      </w:tr>
      <w:tr>
        <w:tc>
          <w:tcPr>
            <w:tcW w:type="dxa" w:w="2200"/>
            <w:shd w:fill="FFFFFF" w:val="clear"/>
          </w:tcPr>
          <w:p>
            <w:pPr>
              <w:jc w:val="left"/>
            </w:pPr>
            <w:r>
              <w:rPr>
                <w:rFonts w:ascii="Times New Roman" w:cs="Times New Roman" w:eastAsia="Times New Roman" w:hAnsi="Times New Roman"/>
                <w:b w:val="false"/>
                <w:bCs w:val="false"/>
                <w:color w:val="000000"/>
                <w:sz w:val="20"/>
                <w:szCs w:val="20"/>
              </w:rPr>
              <w:t xml:space="preserve">Pastagens produtivas</w:t>
            </w:r>
          </w:p>
        </w:tc>
        <w:tc>
          <w:tcPr>
            <w:tcW w:type="dxa" w:w="1200"/>
            <w:shd w:fill="FFFFFF" w:val="clear"/>
          </w:tcPr>
          <w:p>
            <w:pPr>
              <w:jc w:val="center"/>
            </w:pPr>
            <w:r>
              <w:rPr>
                <w:rFonts w:ascii="Times New Roman" w:cs="Times New Roman" w:eastAsia="Times New Roman" w:hAnsi="Times New Roman"/>
                <w:b w:val="false"/>
                <w:bCs w:val="false"/>
                <w:color w:val="000000"/>
                <w:sz w:val="20"/>
                <w:szCs w:val="20"/>
              </w:rPr>
              <w:t xml:space="preserve">~45 ha</w:t>
            </w:r>
          </w:p>
        </w:tc>
        <w:tc>
          <w:tcPr>
            <w:tcW w:type="dxa" w:w="2800"/>
            <w:shd w:fill="FFFFFF" w:val="clear"/>
          </w:tcPr>
          <w:p>
            <w:pPr>
              <w:jc w:val="center"/>
            </w:pPr>
            <w:r>
              <w:rPr>
                <w:rFonts w:ascii="Times New Roman" w:cs="Times New Roman" w:eastAsia="Times New Roman" w:hAnsi="Times New Roman"/>
                <w:b w:val="false"/>
                <w:bCs w:val="false"/>
                <w:color w:val="000000"/>
                <w:sz w:val="20"/>
                <w:szCs w:val="20"/>
              </w:rPr>
              <w:t xml:space="preserve">Definido no Plano de Safra Anual</w:t>
            </w:r>
          </w:p>
        </w:tc>
        <w:tc>
          <w:tcPr>
            <w:tcW w:type="dxa" w:w="2000"/>
            <w:shd w:fill="FFFFFF" w:val="clear"/>
          </w:tcPr>
          <w:p>
            <w:pPr>
              <w:jc w:val="center"/>
            </w:pPr>
            <w:r>
              <w:rPr>
                <w:rFonts w:ascii="Times New Roman" w:cs="Times New Roman" w:eastAsia="Times New Roman" w:hAnsi="Times New Roman"/>
                <w:b w:val="false"/>
                <w:bCs w:val="false"/>
                <w:color w:val="000000"/>
                <w:sz w:val="20"/>
                <w:szCs w:val="20"/>
              </w:rPr>
              <w:t xml:space="preserve">Maioria simples</w:t>
            </w:r>
          </w:p>
        </w:tc>
      </w:tr>
      <w:tr>
        <w:tc>
          <w:tcPr>
            <w:tcW w:type="dxa" w:w="2200"/>
            <w:shd w:fill="f5f0e8" w:val="clear"/>
          </w:tcPr>
          <w:p>
            <w:pPr>
              <w:jc w:val="left"/>
            </w:pPr>
            <w:r>
              <w:rPr>
                <w:rFonts w:ascii="Times New Roman" w:cs="Times New Roman" w:eastAsia="Times New Roman" w:hAnsi="Times New Roman"/>
                <w:b w:val="false"/>
                <w:bCs w:val="false"/>
                <w:color w:val="000000"/>
                <w:sz w:val="20"/>
                <w:szCs w:val="20"/>
              </w:rPr>
              <w:t xml:space="preserve">Áreas agricultáveis</w:t>
            </w:r>
          </w:p>
        </w:tc>
        <w:tc>
          <w:tcPr>
            <w:tcW w:type="dxa" w:w="1200"/>
            <w:shd w:fill="f5f0e8" w:val="clear"/>
          </w:tcPr>
          <w:p>
            <w:pPr>
              <w:jc w:val="center"/>
            </w:pPr>
            <w:r>
              <w:rPr>
                <w:rFonts w:ascii="Times New Roman" w:cs="Times New Roman" w:eastAsia="Times New Roman" w:hAnsi="Times New Roman"/>
                <w:b w:val="false"/>
                <w:bCs w:val="false"/>
                <w:color w:val="000000"/>
                <w:sz w:val="20"/>
                <w:szCs w:val="20"/>
              </w:rPr>
              <w:t xml:space="preserve">~15 ha</w:t>
            </w:r>
          </w:p>
        </w:tc>
        <w:tc>
          <w:tcPr>
            <w:tcW w:type="dxa" w:w="2800"/>
            <w:shd w:fill="f5f0e8" w:val="clear"/>
          </w:tcPr>
          <w:p>
            <w:pPr>
              <w:jc w:val="center"/>
            </w:pPr>
            <w:r>
              <w:rPr>
                <w:rFonts w:ascii="Times New Roman" w:cs="Times New Roman" w:eastAsia="Times New Roman" w:hAnsi="Times New Roman"/>
                <w:b w:val="false"/>
                <w:bCs w:val="false"/>
                <w:color w:val="000000"/>
                <w:sz w:val="20"/>
                <w:szCs w:val="20"/>
              </w:rPr>
              <w:t xml:space="preserve">Cultura anual aprovada em Assembleia</w:t>
            </w:r>
          </w:p>
        </w:tc>
        <w:tc>
          <w:tcPr>
            <w:tcW w:type="dxa" w:w="2000"/>
            <w:shd w:fill="f5f0e8" w:val="clear"/>
          </w:tcPr>
          <w:p>
            <w:pPr>
              <w:jc w:val="center"/>
            </w:pPr>
            <w:r>
              <w:rPr>
                <w:rFonts w:ascii="Times New Roman" w:cs="Times New Roman" w:eastAsia="Times New Roman" w:hAnsi="Times New Roman"/>
                <w:b w:val="false"/>
                <w:bCs w:val="false"/>
                <w:color w:val="000000"/>
                <w:sz w:val="20"/>
                <w:szCs w:val="20"/>
              </w:rPr>
              <w:t xml:space="preserve">Maioria simples</w:t>
            </w:r>
          </w:p>
        </w:tc>
      </w:tr>
      <w:tr>
        <w:tc>
          <w:tcPr>
            <w:tcW w:type="dxa" w:w="2200"/>
            <w:shd w:fill="FFFFFF" w:val="clear"/>
          </w:tcPr>
          <w:p>
            <w:pPr>
              <w:jc w:val="left"/>
            </w:pPr>
            <w:r>
              <w:rPr>
                <w:rFonts w:ascii="Times New Roman" w:cs="Times New Roman" w:eastAsia="Times New Roman" w:hAnsi="Times New Roman"/>
                <w:b w:val="false"/>
                <w:bCs w:val="false"/>
                <w:color w:val="000000"/>
                <w:sz w:val="20"/>
                <w:szCs w:val="20"/>
              </w:rPr>
              <w:t xml:space="preserve">Áreas de pousio / recuperação</w:t>
            </w:r>
          </w:p>
        </w:tc>
        <w:tc>
          <w:tcPr>
            <w:tcW w:type="dxa" w:w="1200"/>
            <w:shd w:fill="FFFFFF" w:val="clear"/>
          </w:tcPr>
          <w:p>
            <w:pPr>
              <w:jc w:val="center"/>
            </w:pPr>
            <w:r>
              <w:rPr>
                <w:rFonts w:ascii="Times New Roman" w:cs="Times New Roman" w:eastAsia="Times New Roman" w:hAnsi="Times New Roman"/>
                <w:b w:val="false"/>
                <w:bCs w:val="false"/>
                <w:color w:val="000000"/>
                <w:sz w:val="20"/>
                <w:szCs w:val="20"/>
              </w:rPr>
              <w:t xml:space="preserve">~5 ha</w:t>
            </w:r>
          </w:p>
        </w:tc>
        <w:tc>
          <w:tcPr>
            <w:tcW w:type="dxa" w:w="2800"/>
            <w:shd w:fill="FFFFFF" w:val="clear"/>
          </w:tcPr>
          <w:p>
            <w:pPr>
              <w:jc w:val="center"/>
            </w:pPr>
            <w:r>
              <w:rPr>
                <w:rFonts w:ascii="Times New Roman" w:cs="Times New Roman" w:eastAsia="Times New Roman" w:hAnsi="Times New Roman"/>
                <w:b w:val="false"/>
                <w:bCs w:val="false"/>
                <w:color w:val="000000"/>
                <w:sz w:val="20"/>
                <w:szCs w:val="20"/>
              </w:rPr>
              <w:t xml:space="preserve">Programação rotativa anual</w:t>
            </w:r>
          </w:p>
        </w:tc>
        <w:tc>
          <w:tcPr>
            <w:tcW w:type="dxa" w:w="2000"/>
            <w:shd w:fill="FFFFFF" w:val="clear"/>
          </w:tcPr>
          <w:p>
            <w:pPr>
              <w:jc w:val="center"/>
            </w:pPr>
            <w:r>
              <w:rPr>
                <w:rFonts w:ascii="Times New Roman" w:cs="Times New Roman" w:eastAsia="Times New Roman" w:hAnsi="Times New Roman"/>
                <w:b w:val="false"/>
                <w:bCs w:val="false"/>
                <w:color w:val="000000"/>
                <w:sz w:val="20"/>
                <w:szCs w:val="20"/>
              </w:rPr>
              <w:t xml:space="preserve">Maioria simples</w:t>
            </w:r>
          </w:p>
        </w:tc>
      </w:tr>
    </w:tbl>
    <w:p>
      <w:pPr>
        <w:spacing w:after="120"/>
      </w:pPr>
    </w:p>
    <w:p>
      <w:pPr>
        <w:spacing w:after="120" w:line="276"/>
        <w:jc w:val="both"/>
      </w:pPr>
      <w:r>
        <w:rPr>
          <w:rFonts w:ascii="Times New Roman" w:cs="Times New Roman" w:eastAsia="Times New Roman" w:hAnsi="Times New Roman"/>
          <w:b w:val="false"/>
          <w:bCs w:val="false"/>
          <w:i w:val="false"/>
          <w:iCs w:val="false"/>
          <w:sz w:val="24"/>
          <w:szCs w:val="24"/>
        </w:rPr>
        <w:t xml:space="preserve">§1º. As ZONAS FIXAS são inalteráveis sem aprovação unânime de todos os condôminos, independentemente de cotas, destinando-se à preservação ambiental, infraestrutura coletiva e recursos hídricos compartilhados.</w:t>
      </w:r>
    </w:p>
    <w:p>
      <w:pPr>
        <w:spacing w:after="120" w:line="276"/>
        <w:jc w:val="both"/>
      </w:pPr>
      <w:r>
        <w:rPr>
          <w:rFonts w:ascii="Times New Roman" w:cs="Times New Roman" w:eastAsia="Times New Roman" w:hAnsi="Times New Roman"/>
          <w:b w:val="false"/>
          <w:bCs w:val="false"/>
          <w:i w:val="false"/>
          <w:iCs w:val="false"/>
          <w:sz w:val="24"/>
          <w:szCs w:val="24"/>
        </w:rPr>
        <w:t xml:space="preserve">§2º. As ZONAS FLEXÍVEIS serão destinadas conforme o Plano de Safra Anual aprovado em Assembleia Geral por maioria simples, sendo garantido a cada condômino acesso proporcional à sua cota-parte, vedada qualquer deliberação que exclua o condômino minoritário do uso mínimo de sua fração proporcional.</w:t>
      </w:r>
    </w:p>
    <w:p>
      <w:pPr>
        <w:spacing w:after="120" w:line="276"/>
        <w:jc w:val="both"/>
      </w:pPr>
      <w:r>
        <w:rPr>
          <w:rFonts w:ascii="Times New Roman" w:cs="Times New Roman" w:eastAsia="Times New Roman" w:hAnsi="Times New Roman"/>
          <w:b w:val="false"/>
          <w:bCs w:val="false"/>
          <w:i w:val="false"/>
          <w:iCs w:val="false"/>
          <w:sz w:val="24"/>
          <w:szCs w:val="24"/>
        </w:rPr>
        <w:t xml:space="preserve">§3º. PROTEÇÃO AO MINORITÁRIO: Nenhuma deliberação sobre as Zonas Flexíveis poderá resultar em atribuição de área ao condômino com menor cota-parte inferior ao seu percentual de participação multiplicado pela área total das Zonas Flexíveis.</w:t>
      </w:r>
    </w:p>
    <w:p>
      <w:pPr>
        <w:spacing w:after="120" w:line="276"/>
        <w:jc w:val="both"/>
      </w:pPr>
      <w:r>
        <w:rPr>
          <w:rFonts w:ascii="Times New Roman" w:cs="Times New Roman" w:eastAsia="Times New Roman" w:hAnsi="Times New Roman"/>
          <w:b w:val="false"/>
          <w:bCs w:val="false"/>
          <w:i w:val="false"/>
          <w:iCs w:val="false"/>
          <w:sz w:val="24"/>
          <w:szCs w:val="24"/>
        </w:rPr>
        <w:t xml:space="preserve">§4º. Os custos de manutenção das áreas comuns — cercas, estradas, benfeitorias, tratamento do açude, limpeza de APPs — serão rateados proporcionalmente às cotas-parte e deliberados no Plano de Safra Anual.</w:t>
      </w:r>
    </w:p>
    <w:p>
      <w:pPr>
        <w:spacing w:after="80" w:before="160"/>
      </w:pPr>
      <w:r>
        <w:rPr>
          <w:rFonts w:ascii="Times New Roman" w:cs="Times New Roman" w:eastAsia="Times New Roman" w:hAnsi="Times New Roman"/>
          <w:b/>
          <w:bCs/>
          <w:sz w:val="24"/>
          <w:szCs w:val="24"/>
        </w:rPr>
        <w:t xml:space="preserve">CLÁUSULA SÉTIMA — DO DESMEMBRAMENTO DA ÁREA INDIVIDUALIZADA</w:t>
      </w:r>
    </w:p>
    <w:p>
      <w:pPr>
        <w:spacing w:after="120" w:line="276"/>
        <w:jc w:val="both"/>
      </w:pPr>
      <w:r>
        <w:rPr>
          <w:rFonts w:ascii="Times New Roman" w:cs="Times New Roman" w:eastAsia="Times New Roman" w:hAnsi="Times New Roman"/>
          <w:b w:val="false"/>
          <w:bCs w:val="false"/>
          <w:i w:val="false"/>
          <w:iCs w:val="false"/>
          <w:sz w:val="24"/>
          <w:szCs w:val="24"/>
        </w:rPr>
        <w:t xml:space="preserve">A área individualizada de {{area_total_ha}} ha, correspondente às frações descritas na Cláusula Primeira, poderá ser objeto de desmembramento e registro em matrícula própria para cada condômino, mediante:</w:t>
      </w:r>
    </w:p>
    <w:p>
      <w:pPr>
        <w:spacing w:after="80" w:line="276"/>
        <w:ind w:left="720"/>
        <w:jc w:val="both"/>
      </w:pPr>
      <w:r>
        <w:rPr>
          <w:rFonts w:ascii="Times New Roman" w:cs="Times New Roman" w:eastAsia="Times New Roman" w:hAnsi="Times New Roman"/>
          <w:sz w:val="24"/>
          <w:szCs w:val="24"/>
        </w:rPr>
        <w:t xml:space="preserve">i. Deliberação unânime em Assembleia Geral;</w:t>
      </w:r>
    </w:p>
    <w:p>
      <w:pPr>
        <w:spacing w:after="80" w:line="276"/>
        <w:ind w:left="720"/>
        <w:jc w:val="both"/>
      </w:pPr>
      <w:r>
        <w:rPr>
          <w:rFonts w:ascii="Times New Roman" w:cs="Times New Roman" w:eastAsia="Times New Roman" w:hAnsi="Times New Roman"/>
          <w:sz w:val="24"/>
          <w:szCs w:val="24"/>
        </w:rPr>
        <w:t xml:space="preserve">ii. Elaboração de planta e memorial descritivo por engenheiro agrimensor habilitado;</w:t>
      </w:r>
    </w:p>
    <w:p>
      <w:pPr>
        <w:spacing w:after="80" w:line="276"/>
        <w:ind w:left="720"/>
        <w:jc w:val="both"/>
      </w:pPr>
      <w:r>
        <w:rPr>
          <w:rFonts w:ascii="Times New Roman" w:cs="Times New Roman" w:eastAsia="Times New Roman" w:hAnsi="Times New Roman"/>
          <w:sz w:val="24"/>
          <w:szCs w:val="24"/>
        </w:rPr>
        <w:t xml:space="preserve">iii. Aprovação pelo INCRA (quando aplicável) e averbação no Cartório de Registro de Imóveis;</w:t>
      </w:r>
    </w:p>
    <w:p>
      <w:pPr>
        <w:spacing w:after="80" w:line="276"/>
        <w:ind w:left="720"/>
        <w:jc w:val="both"/>
      </w:pPr>
      <w:r>
        <w:rPr>
          <w:rFonts w:ascii="Times New Roman" w:cs="Times New Roman" w:eastAsia="Times New Roman" w:hAnsi="Times New Roman"/>
          <w:sz w:val="24"/>
          <w:szCs w:val="24"/>
        </w:rPr>
        <w:t xml:space="preserve">iv. Manutenção da área comum sob matrícula-mãe, com averbação das restrições de uso previstas neste contrato.</w:t>
      </w:r>
    </w:p>
    <w:p>
      <w:pPr>
        <w:spacing w:after="120" w:line="276"/>
        <w:jc w:val="both"/>
      </w:pPr>
      <w:r>
        <w:rPr>
          <w:rFonts w:ascii="Times New Roman" w:cs="Times New Roman" w:eastAsia="Times New Roman" w:hAnsi="Times New Roman"/>
          <w:b w:val="false"/>
          <w:bCs w:val="false"/>
          <w:i w:val="false"/>
          <w:iCs w:val="false"/>
          <w:sz w:val="24"/>
          <w:szCs w:val="24"/>
        </w:rPr>
        <w:t xml:space="preserve">§1º. O desmembramento parcial não extingue o presente contrato nem os direitos e deveres sobre a área comum, que permanecerão vigentes enquanto houver condôminos.</w:t>
      </w:r>
    </w:p>
    <w:p>
      <w:pPr>
        <w:spacing w:after="120" w:line="276"/>
        <w:jc w:val="both"/>
      </w:pPr>
      <w:r>
        <w:rPr>
          <w:rFonts w:ascii="Times New Roman" w:cs="Times New Roman" w:eastAsia="Times New Roman" w:hAnsi="Times New Roman"/>
          <w:b w:val="false"/>
          <w:bCs w:val="false"/>
          <w:i w:val="false"/>
          <w:iCs w:val="false"/>
          <w:sz w:val="24"/>
          <w:szCs w:val="24"/>
        </w:rPr>
        <w:t xml:space="preserve">§2º. Na hipótese de desmembramento integral da área comum por todos os condôminos, o presente contrato será automaticamente dissolvido, sendo as cotas-parte partilhadas conforme a Cláusula Décima Nona.</w:t>
      </w:r>
    </w:p>
    <w:p>
      <w:pPr>
        <w:spacing w:after="100" w:before="200"/>
        <w:jc w:val="center"/>
      </w:pPr>
      <w:r>
        <w:rPr>
          <w:rFonts w:ascii="Times New Roman" w:cs="Times New Roman" w:eastAsia="Times New Roman" w:hAnsi="Times New Roman"/>
          <w:b/>
          <w:bCs/>
          <w:caps/>
          <w:sz w:val="24"/>
          <w:szCs w:val="24"/>
        </w:rPr>
        <w:t xml:space="preserve">PARTE V — PARCERIAS INTERNAS E COM TERCEIROS</w:t>
      </w:r>
    </w:p>
    <w:p>
      <w:pPr>
        <w:spacing w:after="80" w:before="160"/>
      </w:pPr>
      <w:r>
        <w:rPr>
          <w:rFonts w:ascii="Times New Roman" w:cs="Times New Roman" w:eastAsia="Times New Roman" w:hAnsi="Times New Roman"/>
          <w:b/>
          <w:bCs/>
          <w:sz w:val="24"/>
          <w:szCs w:val="24"/>
        </w:rPr>
        <w:t xml:space="preserve">CLÁUSULA OITAVA — DAS PARCERIAS INTERNAS ENTRE CONDÔMINOS</w:t>
      </w:r>
    </w:p>
    <w:p>
      <w:pPr>
        <w:spacing w:after="120" w:line="276"/>
        <w:jc w:val="both"/>
      </w:pPr>
      <w:r>
        <w:rPr>
          <w:rFonts w:ascii="Times New Roman" w:cs="Times New Roman" w:eastAsia="Times New Roman" w:hAnsi="Times New Roman"/>
          <w:b w:val="false"/>
          <w:bCs w:val="false"/>
          <w:i w:val="false"/>
          <w:iCs w:val="false"/>
          <w:sz w:val="24"/>
          <w:szCs w:val="24"/>
        </w:rPr>
        <w:t xml:space="preserve">Os condôminos poderão celebrar entre si contratos de parceria agrícola, pecuária, agroindustrial ou mista (art. 4º, VI do Estatuto da Terra), incidentes sobre as suas respectivas frações individualizadas ou sobre as Zonas Flexíveis da área comum, desde que observados os seguintes requisitos mínimos:</w:t>
      </w:r>
    </w:p>
    <w:p>
      <w:pPr>
        <w:spacing w:after="80" w:line="276"/>
        <w:ind w:left="720"/>
        <w:jc w:val="both"/>
      </w:pPr>
      <w:r>
        <w:rPr>
          <w:rFonts w:ascii="Times New Roman" w:cs="Times New Roman" w:eastAsia="Times New Roman" w:hAnsi="Times New Roman"/>
          <w:sz w:val="24"/>
          <w:szCs w:val="24"/>
        </w:rPr>
        <w:t xml:space="preserve">i. Aprovação em Assembleia Geral por maioria simples dos presentes;</w:t>
      </w:r>
    </w:p>
    <w:p>
      <w:pPr>
        <w:spacing w:after="80" w:line="276"/>
        <w:ind w:left="720"/>
        <w:jc w:val="both"/>
      </w:pPr>
      <w:r>
        <w:rPr>
          <w:rFonts w:ascii="Times New Roman" w:cs="Times New Roman" w:eastAsia="Times New Roman" w:hAnsi="Times New Roman"/>
          <w:sz w:val="24"/>
          <w:szCs w:val="24"/>
        </w:rPr>
        <w:t xml:space="preserve">ii. Forma escrita, com prazo mínimo de 3 (três) anos para parceria agrícola e pecuária, e 7 (sete) anos para parceria extrativa;</w:t>
      </w:r>
    </w:p>
    <w:p>
      <w:pPr>
        <w:spacing w:after="80" w:line="276"/>
        <w:ind w:left="720"/>
        <w:jc w:val="both"/>
      </w:pPr>
      <w:r>
        <w:rPr>
          <w:rFonts w:ascii="Times New Roman" w:cs="Times New Roman" w:eastAsia="Times New Roman" w:hAnsi="Times New Roman"/>
          <w:sz w:val="24"/>
          <w:szCs w:val="24"/>
        </w:rPr>
        <w:t xml:space="preserve">iii. Especificação da área objeto da parceria, em hectares, com referência ao zoneamento da Cláusula Sexta;</w:t>
      </w:r>
    </w:p>
    <w:p>
      <w:pPr>
        <w:spacing w:after="80" w:line="276"/>
        <w:ind w:left="720"/>
        <w:jc w:val="both"/>
      </w:pPr>
      <w:r>
        <w:rPr>
          <w:rFonts w:ascii="Times New Roman" w:cs="Times New Roman" w:eastAsia="Times New Roman" w:hAnsi="Times New Roman"/>
          <w:sz w:val="24"/>
          <w:szCs w:val="24"/>
        </w:rPr>
        <w:t xml:space="preserve">iv. Definição do produto ou atividade objeto da parceria;</w:t>
      </w:r>
    </w:p>
    <w:p>
      <w:pPr>
        <w:spacing w:after="80" w:line="276"/>
        <w:ind w:left="720"/>
        <w:jc w:val="both"/>
      </w:pPr>
      <w:r>
        <w:rPr>
          <w:rFonts w:ascii="Times New Roman" w:cs="Times New Roman" w:eastAsia="Times New Roman" w:hAnsi="Times New Roman"/>
          <w:sz w:val="24"/>
          <w:szCs w:val="24"/>
        </w:rPr>
        <w:t xml:space="preserve">v. Percentuais de partilha do resultado bruto, respeitado o limite máximo de 50% (cinquenta por cento) para o outorgante e garantido ao outorgado no mínimo 25% (vinte e cinco por cento) do resultado bruto, conforme art. 96, VI do Estatuto da Terra;</w:t>
      </w:r>
    </w:p>
    <w:p>
      <w:pPr>
        <w:spacing w:after="80" w:line="276"/>
        <w:ind w:left="720"/>
        <w:jc w:val="both"/>
      </w:pPr>
      <w:r>
        <w:rPr>
          <w:rFonts w:ascii="Times New Roman" w:cs="Times New Roman" w:eastAsia="Times New Roman" w:hAnsi="Times New Roman"/>
          <w:sz w:val="24"/>
          <w:szCs w:val="24"/>
        </w:rPr>
        <w:t xml:space="preserve">vi. Responsabilidade pelos insumos, assistência técnica e seguros;</w:t>
      </w:r>
    </w:p>
    <w:p>
      <w:pPr>
        <w:spacing w:after="80" w:line="276"/>
        <w:ind w:left="720"/>
        <w:jc w:val="both"/>
      </w:pPr>
      <w:r>
        <w:rPr>
          <w:rFonts w:ascii="Times New Roman" w:cs="Times New Roman" w:eastAsia="Times New Roman" w:hAnsi="Times New Roman"/>
          <w:sz w:val="24"/>
          <w:szCs w:val="24"/>
        </w:rPr>
        <w:t xml:space="preserve">vii. Cláusula de preferência do condomínio na aquisição dos produtos;</w:t>
      </w:r>
    </w:p>
    <w:p>
      <w:pPr>
        <w:spacing w:after="80" w:line="276"/>
        <w:ind w:left="720"/>
        <w:jc w:val="both"/>
      </w:pPr>
      <w:r>
        <w:rPr>
          <w:rFonts w:ascii="Times New Roman" w:cs="Times New Roman" w:eastAsia="Times New Roman" w:hAnsi="Times New Roman"/>
          <w:sz w:val="24"/>
          <w:szCs w:val="24"/>
        </w:rPr>
        <w:t xml:space="preserve">viii. Cláusula de não-concorrência entre as parcelas durante a vigência;</w:t>
      </w:r>
    </w:p>
    <w:p>
      <w:pPr>
        <w:spacing w:after="80" w:line="276"/>
        <w:ind w:left="720"/>
        <w:jc w:val="both"/>
      </w:pPr>
      <w:r>
        <w:rPr>
          <w:rFonts w:ascii="Times New Roman" w:cs="Times New Roman" w:eastAsia="Times New Roman" w:hAnsi="Times New Roman"/>
          <w:sz w:val="24"/>
          <w:szCs w:val="24"/>
        </w:rPr>
        <w:t xml:space="preserve">ix. Foro de eleição para resolução de conflitos.</w:t>
      </w:r>
    </w:p>
    <w:p>
      <w:pPr>
        <w:spacing w:after="120" w:line="276"/>
        <w:jc w:val="both"/>
      </w:pPr>
      <w:r>
        <w:rPr>
          <w:rFonts w:ascii="Times New Roman" w:cs="Times New Roman" w:eastAsia="Times New Roman" w:hAnsi="Times New Roman"/>
          <w:b w:val="false"/>
          <w:bCs w:val="false"/>
          <w:i w:val="false"/>
          <w:iCs w:val="false"/>
          <w:sz w:val="24"/>
          <w:szCs w:val="24"/>
        </w:rPr>
        <w:t xml:space="preserve">§1º. As parcerias internas são vedadas nas Zonas Fixas da área comum (Cláusula Sexta).</w:t>
      </w:r>
    </w:p>
    <w:p>
      <w:pPr>
        <w:spacing w:after="120" w:line="276"/>
        <w:jc w:val="both"/>
      </w:pPr>
      <w:r>
        <w:rPr>
          <w:rFonts w:ascii="Times New Roman" w:cs="Times New Roman" w:eastAsia="Times New Roman" w:hAnsi="Times New Roman"/>
          <w:b w:val="false"/>
          <w:bCs w:val="false"/>
          <w:i w:val="false"/>
          <w:iCs w:val="false"/>
          <w:sz w:val="24"/>
          <w:szCs w:val="24"/>
        </w:rPr>
        <w:t xml:space="preserve">§2º. As parcerias internas nas Zonas Flexíveis estão limitadas a {{limite_parceria_interna_pct}}% da área de cada zona, salvo deliberação unânime.</w:t>
      </w:r>
    </w:p>
    <w:p>
      <w:pPr>
        <w:spacing w:after="120" w:line="276"/>
        <w:jc w:val="both"/>
      </w:pPr>
      <w:r>
        <w:rPr>
          <w:rFonts w:ascii="Times New Roman" w:cs="Times New Roman" w:eastAsia="Times New Roman" w:hAnsi="Times New Roman"/>
          <w:b w:val="false"/>
          <w:bCs w:val="false"/>
          <w:i w:val="false"/>
          <w:iCs w:val="false"/>
          <w:sz w:val="24"/>
          <w:szCs w:val="24"/>
        </w:rPr>
        <w:t xml:space="preserve">§3º. Nenhum condômino poderá celebrar parceria interna que resulte em concentração de área superior a {{limite_concentracao_pct}}% da área total produtiva do imóvel.</w:t>
      </w:r>
    </w:p>
    <w:p>
      <w:pPr>
        <w:spacing w:after="80" w:before="160"/>
      </w:pPr>
      <w:r>
        <w:rPr>
          <w:rFonts w:ascii="Times New Roman" w:cs="Times New Roman" w:eastAsia="Times New Roman" w:hAnsi="Times New Roman"/>
          <w:b/>
          <w:bCs/>
          <w:sz w:val="24"/>
          <w:szCs w:val="24"/>
        </w:rPr>
        <w:t xml:space="preserve">CLÁUSULA NONA — DAS PARCERIAS COM TERCEIROS</w:t>
      </w:r>
    </w:p>
    <w:p>
      <w:pPr>
        <w:spacing w:after="120" w:line="276"/>
        <w:jc w:val="both"/>
      </w:pPr>
      <w:r>
        <w:rPr>
          <w:rFonts w:ascii="Times New Roman" w:cs="Times New Roman" w:eastAsia="Times New Roman" w:hAnsi="Times New Roman"/>
          <w:b w:val="false"/>
          <w:bCs w:val="false"/>
          <w:i w:val="false"/>
          <w:iCs w:val="false"/>
          <w:sz w:val="24"/>
          <w:szCs w:val="24"/>
        </w:rPr>
        <w:t xml:space="preserve">O condomínio, representado pelo Administrador, poderá ceder área a não-condôminos mediante contrato de parceria rural, exclusivamente nas Zonas Flexíveis, observadas as seguintes condições:</w:t>
      </w:r>
    </w:p>
    <w:p>
      <w:pPr>
        <w:spacing w:after="80" w:line="276"/>
        <w:ind w:left="720"/>
        <w:jc w:val="both"/>
      </w:pPr>
      <w:r>
        <w:rPr>
          <w:rFonts w:ascii="Times New Roman" w:cs="Times New Roman" w:eastAsia="Times New Roman" w:hAnsi="Times New Roman"/>
          <w:sz w:val="24"/>
          <w:szCs w:val="24"/>
        </w:rPr>
        <w:t xml:space="preserve">a) Aprovação em Assembleia Geral por dois terços (2/3) dos condôminos em número e área;</w:t>
      </w:r>
    </w:p>
    <w:p>
      <w:pPr>
        <w:spacing w:after="80" w:line="276"/>
        <w:ind w:left="720"/>
        <w:jc w:val="both"/>
      </w:pPr>
      <w:r>
        <w:rPr>
          <w:rFonts w:ascii="Times New Roman" w:cs="Times New Roman" w:eastAsia="Times New Roman" w:hAnsi="Times New Roman"/>
          <w:sz w:val="24"/>
          <w:szCs w:val="24"/>
        </w:rPr>
        <w:t xml:space="preserve">b) Área máxima cedida a terceiros: {{limite_parceria_terceiros_pct}}% das Zonas Flexíveis;</w:t>
      </w:r>
    </w:p>
    <w:p>
      <w:pPr>
        <w:spacing w:after="80" w:line="276"/>
        <w:ind w:left="720"/>
        <w:jc w:val="both"/>
      </w:pPr>
      <w:r>
        <w:rPr>
          <w:rFonts w:ascii="Times New Roman" w:cs="Times New Roman" w:eastAsia="Times New Roman" w:hAnsi="Times New Roman"/>
          <w:sz w:val="24"/>
          <w:szCs w:val="24"/>
        </w:rPr>
        <w:t xml:space="preserve">c) Prazo máximo da parceria com terceiros: {{prazo_max_parceria_terceiros}} anos, prorrogável uma única vez;</w:t>
      </w:r>
    </w:p>
    <w:p>
      <w:pPr>
        <w:spacing w:after="80" w:line="276"/>
        <w:ind w:left="720"/>
        <w:jc w:val="both"/>
      </w:pPr>
      <w:r>
        <w:rPr>
          <w:rFonts w:ascii="Times New Roman" w:cs="Times New Roman" w:eastAsia="Times New Roman" w:hAnsi="Times New Roman"/>
          <w:sz w:val="24"/>
          <w:szCs w:val="24"/>
        </w:rPr>
        <w:t xml:space="preserve">d) O produto da parceria integra o caixa do condomínio, sendo distribuído na proporção das cotas-parte;</w:t>
      </w:r>
    </w:p>
    <w:p>
      <w:pPr>
        <w:spacing w:after="80" w:line="276"/>
        <w:ind w:left="720"/>
        <w:jc w:val="both"/>
      </w:pPr>
      <w:r>
        <w:rPr>
          <w:rFonts w:ascii="Times New Roman" w:cs="Times New Roman" w:eastAsia="Times New Roman" w:hAnsi="Times New Roman"/>
          <w:sz w:val="24"/>
          <w:szCs w:val="24"/>
        </w:rPr>
        <w:t xml:space="preserve">e) É vedada a sublocação ou subparceria pelo parceiro;</w:t>
      </w:r>
    </w:p>
    <w:p>
      <w:pPr>
        <w:spacing w:after="80" w:line="276"/>
        <w:ind w:left="720"/>
        <w:jc w:val="both"/>
      </w:pPr>
      <w:r>
        <w:rPr>
          <w:rFonts w:ascii="Times New Roman" w:cs="Times New Roman" w:eastAsia="Times New Roman" w:hAnsi="Times New Roman"/>
          <w:sz w:val="24"/>
          <w:szCs w:val="24"/>
        </w:rPr>
        <w:t xml:space="preserve">f) São expressamente vedadas parcerias com terceiros nas Zonas Fixas.</w:t>
      </w:r>
    </w:p>
    <w:p>
      <w:pPr>
        <w:spacing w:after="80" w:before="160"/>
      </w:pPr>
      <w:r>
        <w:rPr>
          <w:rFonts w:ascii="Times New Roman" w:cs="Times New Roman" w:eastAsia="Times New Roman" w:hAnsi="Times New Roman"/>
          <w:b/>
          <w:bCs/>
          <w:sz w:val="24"/>
          <w:szCs w:val="24"/>
        </w:rPr>
        <w:t xml:space="preserve">CLÁUSULA DÉCIMA — DISTINÇÃO ENTRE CONDOMÍNIO E PARCERIA</w:t>
      </w:r>
    </w:p>
    <w:p>
      <w:pPr>
        <w:spacing w:after="120" w:line="276"/>
        <w:jc w:val="both"/>
      </w:pPr>
      <w:r>
        <w:rPr>
          <w:rFonts w:ascii="Times New Roman" w:cs="Times New Roman" w:eastAsia="Times New Roman" w:hAnsi="Times New Roman"/>
          <w:b w:val="false"/>
          <w:bCs w:val="false"/>
          <w:i w:val="false"/>
          <w:iCs w:val="false"/>
          <w:sz w:val="24"/>
          <w:szCs w:val="24"/>
        </w:rPr>
        <w:t xml:space="preserve">Para os fins deste contrato, estabelece-se a seguinte distinção entre os institutos jurídicos aplicáveis:</w:t>
      </w:r>
    </w:p>
    <w:p>
      <w:pPr>
        <w:spacing w:after="80"/>
      </w:pPr>
    </w:p>
    <w:tbl>
      <w:tblPr>
        <w:tblW w:type="dxa" w:w="8800"/>
        <w:tblBorders>
          <w:top w:val="single" w:color="333333" w:sz="4"/>
          <w:left w:val="single" w:color="333333" w:sz="4"/>
          <w:bottom w:val="single" w:color="333333" w:sz="4"/>
          <w:right w:val="single" w:color="333333" w:sz="4"/>
          <w:insideH w:val="single" w:color="auto" w:sz="4"/>
          <w:insideV w:val="single" w:color="auto" w:sz="4"/>
        </w:tblBorders>
      </w:tblPr>
      <w:tblGrid>
        <w:gridCol w:w="2400"/>
        <w:gridCol w:w="3200"/>
        <w:gridCol w:w="3200"/>
      </w:tblGrid>
      <w:tr>
        <w:trPr>
          <w:tblHeader/>
        </w:trPr>
        <w:tc>
          <w:tcPr>
            <w:tcW w:type="dxa" w:w="2400"/>
            <w:shd w:fill="1a2e1a" w:val="clear"/>
          </w:tcPr>
          <w:p>
            <w:pPr>
              <w:jc w:val="center"/>
            </w:pPr>
            <w:r>
              <w:rPr>
                <w:rFonts w:ascii="Times New Roman" w:cs="Times New Roman" w:eastAsia="Times New Roman" w:hAnsi="Times New Roman"/>
                <w:b/>
                <w:bCs/>
                <w:color w:val="FFFFFF"/>
                <w:sz w:val="20"/>
                <w:szCs w:val="20"/>
              </w:rPr>
              <w:t xml:space="preserve">Aspecto</w:t>
            </w:r>
          </w:p>
        </w:tc>
        <w:tc>
          <w:tcPr>
            <w:tcW w:type="dxa" w:w="3200"/>
            <w:shd w:fill="1a2e1a" w:val="clear"/>
          </w:tcPr>
          <w:p>
            <w:pPr>
              <w:jc w:val="center"/>
            </w:pPr>
            <w:r>
              <w:rPr>
                <w:rFonts w:ascii="Times New Roman" w:cs="Times New Roman" w:eastAsia="Times New Roman" w:hAnsi="Times New Roman"/>
                <w:b/>
                <w:bCs/>
                <w:color w:val="FFFFFF"/>
                <w:sz w:val="20"/>
                <w:szCs w:val="20"/>
              </w:rPr>
              <w:t xml:space="preserve">Condomínio Rural</w:t>
            </w:r>
          </w:p>
        </w:tc>
        <w:tc>
          <w:tcPr>
            <w:tcW w:type="dxa" w:w="3200"/>
            <w:shd w:fill="1a2e1a" w:val="clear"/>
          </w:tcPr>
          <w:p>
            <w:pPr>
              <w:jc w:val="center"/>
            </w:pPr>
            <w:r>
              <w:rPr>
                <w:rFonts w:ascii="Times New Roman" w:cs="Times New Roman" w:eastAsia="Times New Roman" w:hAnsi="Times New Roman"/>
                <w:b/>
                <w:bCs/>
                <w:color w:val="FFFFFF"/>
                <w:sz w:val="20"/>
                <w:szCs w:val="20"/>
              </w:rPr>
              <w:t xml:space="preserve">Parceria Rural</w:t>
            </w:r>
          </w:p>
        </w:tc>
      </w:tr>
      <w:tr>
        <w:tc>
          <w:tcPr>
            <w:tcW w:type="dxa" w:w="2400"/>
            <w:shd w:fill="f5f0e8" w:val="clear"/>
          </w:tcPr>
          <w:p>
            <w:pPr>
              <w:jc w:val="left"/>
            </w:pPr>
            <w:r>
              <w:rPr>
                <w:rFonts w:ascii="Times New Roman" w:cs="Times New Roman" w:eastAsia="Times New Roman" w:hAnsi="Times New Roman"/>
                <w:b w:val="false"/>
                <w:bCs w:val="false"/>
                <w:color w:val="000000"/>
                <w:sz w:val="20"/>
                <w:szCs w:val="20"/>
              </w:rPr>
              <w:t xml:space="preserve">Partes</w:t>
            </w:r>
          </w:p>
        </w:tc>
        <w:tc>
          <w:tcPr>
            <w:tcW w:type="dxa" w:w="3200"/>
            <w:shd w:fill="f5f0e8" w:val="clear"/>
          </w:tcPr>
          <w:p>
            <w:pPr>
              <w:jc w:val="center"/>
            </w:pPr>
            <w:r>
              <w:rPr>
                <w:rFonts w:ascii="Times New Roman" w:cs="Times New Roman" w:eastAsia="Times New Roman" w:hAnsi="Times New Roman"/>
                <w:b w:val="false"/>
                <w:bCs w:val="false"/>
                <w:color w:val="000000"/>
                <w:sz w:val="20"/>
                <w:szCs w:val="20"/>
              </w:rPr>
              <w:t xml:space="preserve">Condôminos (co-proprietários)</w:t>
            </w:r>
          </w:p>
        </w:tc>
        <w:tc>
          <w:tcPr>
            <w:tcW w:type="dxa" w:w="3200"/>
            <w:shd w:fill="f5f0e8" w:val="clear"/>
          </w:tcPr>
          <w:p>
            <w:pPr>
              <w:jc w:val="center"/>
            </w:pPr>
            <w:r>
              <w:rPr>
                <w:rFonts w:ascii="Times New Roman" w:cs="Times New Roman" w:eastAsia="Times New Roman" w:hAnsi="Times New Roman"/>
                <w:b w:val="false"/>
                <w:bCs w:val="false"/>
                <w:color w:val="000000"/>
                <w:sz w:val="20"/>
                <w:szCs w:val="20"/>
              </w:rPr>
              <w:t xml:space="preserve">Outorgante e Outorgado</w:t>
            </w:r>
          </w:p>
        </w:tc>
      </w:tr>
      <w:tr>
        <w:tc>
          <w:tcPr>
            <w:tcW w:type="dxa" w:w="2400"/>
            <w:shd w:fill="FFFFFF" w:val="clear"/>
          </w:tcPr>
          <w:p>
            <w:pPr>
              <w:jc w:val="left"/>
            </w:pPr>
            <w:r>
              <w:rPr>
                <w:rFonts w:ascii="Times New Roman" w:cs="Times New Roman" w:eastAsia="Times New Roman" w:hAnsi="Times New Roman"/>
                <w:b w:val="false"/>
                <w:bCs w:val="false"/>
                <w:color w:val="000000"/>
                <w:sz w:val="20"/>
                <w:szCs w:val="20"/>
              </w:rPr>
              <w:t xml:space="preserve">Base legal</w:t>
            </w:r>
          </w:p>
        </w:tc>
        <w:tc>
          <w:tcPr>
            <w:tcW w:type="dxa" w:w="3200"/>
            <w:shd w:fill="FFFFFF" w:val="clear"/>
          </w:tcPr>
          <w:p>
            <w:pPr>
              <w:jc w:val="center"/>
            </w:pPr>
            <w:r>
              <w:rPr>
                <w:rFonts w:ascii="Times New Roman" w:cs="Times New Roman" w:eastAsia="Times New Roman" w:hAnsi="Times New Roman"/>
                <w:b w:val="false"/>
                <w:bCs w:val="false"/>
                <w:color w:val="000000"/>
                <w:sz w:val="20"/>
                <w:szCs w:val="20"/>
              </w:rPr>
              <w:t xml:space="preserve">Art. 1.314 CC / ET art. 4º VI</w:t>
            </w:r>
          </w:p>
        </w:tc>
        <w:tc>
          <w:tcPr>
            <w:tcW w:type="dxa" w:w="3200"/>
            <w:shd w:fill="FFFFFF" w:val="clear"/>
          </w:tcPr>
          <w:p>
            <w:pPr>
              <w:jc w:val="center"/>
            </w:pPr>
            <w:r>
              <w:rPr>
                <w:rFonts w:ascii="Times New Roman" w:cs="Times New Roman" w:eastAsia="Times New Roman" w:hAnsi="Times New Roman"/>
                <w:b w:val="false"/>
                <w:bCs w:val="false"/>
                <w:color w:val="000000"/>
                <w:sz w:val="20"/>
                <w:szCs w:val="20"/>
              </w:rPr>
              <w:t xml:space="preserve">ET art. 4º VI / Dec. 59.566/66</w:t>
            </w:r>
          </w:p>
        </w:tc>
      </w:tr>
      <w:tr>
        <w:tc>
          <w:tcPr>
            <w:tcW w:type="dxa" w:w="2400"/>
            <w:shd w:fill="f5f0e8" w:val="clear"/>
          </w:tcPr>
          <w:p>
            <w:pPr>
              <w:jc w:val="left"/>
            </w:pPr>
            <w:r>
              <w:rPr>
                <w:rFonts w:ascii="Times New Roman" w:cs="Times New Roman" w:eastAsia="Times New Roman" w:hAnsi="Times New Roman"/>
                <w:b w:val="false"/>
                <w:bCs w:val="false"/>
                <w:color w:val="000000"/>
                <w:sz w:val="20"/>
                <w:szCs w:val="20"/>
              </w:rPr>
              <w:t xml:space="preserve">Propriedade</w:t>
            </w:r>
          </w:p>
        </w:tc>
        <w:tc>
          <w:tcPr>
            <w:tcW w:type="dxa" w:w="3200"/>
            <w:shd w:fill="f5f0e8" w:val="clear"/>
          </w:tcPr>
          <w:p>
            <w:pPr>
              <w:jc w:val="center"/>
            </w:pPr>
            <w:r>
              <w:rPr>
                <w:rFonts w:ascii="Times New Roman" w:cs="Times New Roman" w:eastAsia="Times New Roman" w:hAnsi="Times New Roman"/>
                <w:b w:val="false"/>
                <w:bCs w:val="false"/>
                <w:color w:val="000000"/>
                <w:sz w:val="20"/>
                <w:szCs w:val="20"/>
              </w:rPr>
              <w:t xml:space="preserve">Compartilhada (fração ideal)</w:t>
            </w:r>
          </w:p>
        </w:tc>
        <w:tc>
          <w:tcPr>
            <w:tcW w:type="dxa" w:w="3200"/>
            <w:shd w:fill="f5f0e8" w:val="clear"/>
          </w:tcPr>
          <w:p>
            <w:pPr>
              <w:jc w:val="center"/>
            </w:pPr>
            <w:r>
              <w:rPr>
                <w:rFonts w:ascii="Times New Roman" w:cs="Times New Roman" w:eastAsia="Times New Roman" w:hAnsi="Times New Roman"/>
                <w:b w:val="false"/>
                <w:bCs w:val="false"/>
                <w:color w:val="000000"/>
                <w:sz w:val="20"/>
                <w:szCs w:val="20"/>
              </w:rPr>
              <w:t xml:space="preserve">Permanece com o outorgante</w:t>
            </w:r>
          </w:p>
        </w:tc>
      </w:tr>
      <w:tr>
        <w:tc>
          <w:tcPr>
            <w:tcW w:type="dxa" w:w="2400"/>
            <w:shd w:fill="FFFFFF" w:val="clear"/>
          </w:tcPr>
          <w:p>
            <w:pPr>
              <w:jc w:val="left"/>
            </w:pPr>
            <w:r>
              <w:rPr>
                <w:rFonts w:ascii="Times New Roman" w:cs="Times New Roman" w:eastAsia="Times New Roman" w:hAnsi="Times New Roman"/>
                <w:b w:val="false"/>
                <w:bCs w:val="false"/>
                <w:color w:val="000000"/>
                <w:sz w:val="20"/>
                <w:szCs w:val="20"/>
              </w:rPr>
              <w:t xml:space="preserve">Risco</w:t>
            </w:r>
          </w:p>
        </w:tc>
        <w:tc>
          <w:tcPr>
            <w:tcW w:type="dxa" w:w="3200"/>
            <w:shd w:fill="FFFFFF" w:val="clear"/>
          </w:tcPr>
          <w:p>
            <w:pPr>
              <w:jc w:val="center"/>
            </w:pPr>
            <w:r>
              <w:rPr>
                <w:rFonts w:ascii="Times New Roman" w:cs="Times New Roman" w:eastAsia="Times New Roman" w:hAnsi="Times New Roman"/>
                <w:b w:val="false"/>
                <w:bCs w:val="false"/>
                <w:color w:val="000000"/>
                <w:sz w:val="20"/>
                <w:szCs w:val="20"/>
              </w:rPr>
              <w:t xml:space="preserve">Compartilhado proporcionalmente</w:t>
            </w:r>
          </w:p>
        </w:tc>
        <w:tc>
          <w:tcPr>
            <w:tcW w:type="dxa" w:w="3200"/>
            <w:shd w:fill="FFFFFF" w:val="clear"/>
          </w:tcPr>
          <w:p>
            <w:pPr>
              <w:jc w:val="center"/>
            </w:pPr>
            <w:r>
              <w:rPr>
                <w:rFonts w:ascii="Times New Roman" w:cs="Times New Roman" w:eastAsia="Times New Roman" w:hAnsi="Times New Roman"/>
                <w:b w:val="false"/>
                <w:bCs w:val="false"/>
                <w:color w:val="000000"/>
                <w:sz w:val="20"/>
                <w:szCs w:val="20"/>
              </w:rPr>
              <w:t xml:space="preserve">Compartilhado conforme contrato</w:t>
            </w:r>
          </w:p>
        </w:tc>
      </w:tr>
      <w:tr>
        <w:tc>
          <w:tcPr>
            <w:tcW w:type="dxa" w:w="2400"/>
            <w:shd w:fill="f5f0e8" w:val="clear"/>
          </w:tcPr>
          <w:p>
            <w:pPr>
              <w:jc w:val="left"/>
            </w:pPr>
            <w:r>
              <w:rPr>
                <w:rFonts w:ascii="Times New Roman" w:cs="Times New Roman" w:eastAsia="Times New Roman" w:hAnsi="Times New Roman"/>
                <w:b w:val="false"/>
                <w:bCs w:val="false"/>
                <w:color w:val="000000"/>
                <w:sz w:val="20"/>
                <w:szCs w:val="20"/>
              </w:rPr>
              <w:t xml:space="preserve">Resultado</w:t>
            </w:r>
          </w:p>
        </w:tc>
        <w:tc>
          <w:tcPr>
            <w:tcW w:type="dxa" w:w="3200"/>
            <w:shd w:fill="f5f0e8" w:val="clear"/>
          </w:tcPr>
          <w:p>
            <w:pPr>
              <w:jc w:val="center"/>
            </w:pPr>
            <w:r>
              <w:rPr>
                <w:rFonts w:ascii="Times New Roman" w:cs="Times New Roman" w:eastAsia="Times New Roman" w:hAnsi="Times New Roman"/>
                <w:b w:val="false"/>
                <w:bCs w:val="false"/>
                <w:color w:val="000000"/>
                <w:sz w:val="20"/>
                <w:szCs w:val="20"/>
              </w:rPr>
              <w:t xml:space="preserve">Distribuído por cota-parte</w:t>
            </w:r>
          </w:p>
        </w:tc>
        <w:tc>
          <w:tcPr>
            <w:tcW w:type="dxa" w:w="3200"/>
            <w:shd w:fill="f5f0e8" w:val="clear"/>
          </w:tcPr>
          <w:p>
            <w:pPr>
              <w:jc w:val="center"/>
            </w:pPr>
            <w:r>
              <w:rPr>
                <w:rFonts w:ascii="Times New Roman" w:cs="Times New Roman" w:eastAsia="Times New Roman" w:hAnsi="Times New Roman"/>
                <w:b w:val="false"/>
                <w:bCs w:val="false"/>
                <w:color w:val="000000"/>
                <w:sz w:val="20"/>
                <w:szCs w:val="20"/>
              </w:rPr>
              <w:t xml:space="preserve">Partilhado por percentual</w:t>
            </w:r>
          </w:p>
        </w:tc>
      </w:tr>
      <w:tr>
        <w:tc>
          <w:tcPr>
            <w:tcW w:type="dxa" w:w="2400"/>
            <w:shd w:fill="FFFFFF" w:val="clear"/>
          </w:tcPr>
          <w:p>
            <w:pPr>
              <w:jc w:val="left"/>
            </w:pPr>
            <w:r>
              <w:rPr>
                <w:rFonts w:ascii="Times New Roman" w:cs="Times New Roman" w:eastAsia="Times New Roman" w:hAnsi="Times New Roman"/>
                <w:b w:val="false"/>
                <w:bCs w:val="false"/>
                <w:color w:val="000000"/>
                <w:sz w:val="20"/>
                <w:szCs w:val="20"/>
              </w:rPr>
              <w:t xml:space="preserve">Prazo mínimo</w:t>
            </w:r>
          </w:p>
        </w:tc>
        <w:tc>
          <w:tcPr>
            <w:tcW w:type="dxa" w:w="3200"/>
            <w:shd w:fill="FFFFFF" w:val="clear"/>
          </w:tcPr>
          <w:p>
            <w:pPr>
              <w:jc w:val="center"/>
            </w:pPr>
            <w:r>
              <w:rPr>
                <w:rFonts w:ascii="Times New Roman" w:cs="Times New Roman" w:eastAsia="Times New Roman" w:hAnsi="Times New Roman"/>
                <w:b w:val="false"/>
                <w:bCs w:val="false"/>
                <w:color w:val="000000"/>
                <w:sz w:val="20"/>
                <w:szCs w:val="20"/>
              </w:rPr>
              <w:t xml:space="preserve">Não há (recomendado: 3 anos)</w:t>
            </w:r>
          </w:p>
        </w:tc>
        <w:tc>
          <w:tcPr>
            <w:tcW w:type="dxa" w:w="3200"/>
            <w:shd w:fill="FFFFFF" w:val="clear"/>
          </w:tcPr>
          <w:p>
            <w:pPr>
              <w:jc w:val="center"/>
            </w:pPr>
            <w:r>
              <w:rPr>
                <w:rFonts w:ascii="Times New Roman" w:cs="Times New Roman" w:eastAsia="Times New Roman" w:hAnsi="Times New Roman"/>
                <w:b w:val="false"/>
                <w:bCs w:val="false"/>
                <w:color w:val="000000"/>
                <w:sz w:val="20"/>
                <w:szCs w:val="20"/>
              </w:rPr>
              <w:t xml:space="preserve">3 a 7 anos conforme atividade</w:t>
            </w:r>
          </w:p>
        </w:tc>
      </w:tr>
    </w:tbl>
    <w:p>
      <w:pPr>
        <w:spacing w:after="120"/>
      </w:pPr>
    </w:p>
    <w:p>
      <w:pPr>
        <w:spacing w:after="100" w:before="200"/>
        <w:jc w:val="center"/>
      </w:pPr>
      <w:r>
        <w:rPr>
          <w:rFonts w:ascii="Times New Roman" w:cs="Times New Roman" w:eastAsia="Times New Roman" w:hAnsi="Times New Roman"/>
          <w:b/>
          <w:bCs/>
          <w:caps/>
          <w:sz w:val="24"/>
          <w:szCs w:val="24"/>
        </w:rPr>
        <w:t xml:space="preserve">PARTE VI — ADMINISTRAÇÃO E GOVERNANÇA</w:t>
      </w:r>
    </w:p>
    <w:p>
      <w:pPr>
        <w:spacing w:after="80" w:before="160"/>
      </w:pPr>
      <w:r>
        <w:rPr>
          <w:rFonts w:ascii="Times New Roman" w:cs="Times New Roman" w:eastAsia="Times New Roman" w:hAnsi="Times New Roman"/>
          <w:b/>
          <w:bCs/>
          <w:sz w:val="24"/>
          <w:szCs w:val="24"/>
        </w:rPr>
        <w:t xml:space="preserve">CLÁUSULA DÉCIMA PRIMEIRA — DO ADMINISTRADOR</w:t>
      </w:r>
    </w:p>
    <w:p>
      <w:pPr>
        <w:spacing w:after="120" w:line="276"/>
        <w:jc w:val="both"/>
      </w:pPr>
      <w:r>
        <w:rPr>
          <w:rFonts w:ascii="Times New Roman" w:cs="Times New Roman" w:eastAsia="Times New Roman" w:hAnsi="Times New Roman"/>
          <w:b w:val="false"/>
          <w:bCs w:val="false"/>
          <w:i w:val="false"/>
          <w:iCs w:val="false"/>
          <w:sz w:val="24"/>
          <w:szCs w:val="24"/>
        </w:rPr>
        <w:t xml:space="preserve">O condomínio será administrado por {{nome_administrador}}, condômino com cota-parte de {{percentual_administrador}}%, que exercerá as funções de Administrador pelo prazo de {{prazo_mandato_administrador}} anos, podendo ser reeleito.</w:t>
      </w:r>
    </w:p>
    <w:p>
      <w:pPr>
        <w:spacing w:after="120" w:line="276"/>
        <w:jc w:val="both"/>
      </w:pPr>
      <w:r>
        <w:rPr>
          <w:rFonts w:ascii="Times New Roman" w:cs="Times New Roman" w:eastAsia="Times New Roman" w:hAnsi="Times New Roman"/>
          <w:b w:val="false"/>
          <w:bCs w:val="false"/>
          <w:i w:val="false"/>
          <w:iCs w:val="false"/>
          <w:sz w:val="24"/>
          <w:szCs w:val="24"/>
        </w:rPr>
        <w:t xml:space="preserve">§1º. Compete ao Administrador:</w:t>
      </w:r>
    </w:p>
    <w:p>
      <w:pPr>
        <w:spacing w:after="80" w:line="276"/>
        <w:ind w:left="720"/>
        <w:jc w:val="both"/>
      </w:pPr>
      <w:r>
        <w:rPr>
          <w:rFonts w:ascii="Times New Roman" w:cs="Times New Roman" w:eastAsia="Times New Roman" w:hAnsi="Times New Roman"/>
          <w:sz w:val="24"/>
          <w:szCs w:val="24"/>
        </w:rPr>
        <w:t xml:space="preserve">i. Representar o condomínio ativa e passivamente, judicial e extrajudicialmente;</w:t>
      </w:r>
    </w:p>
    <w:p>
      <w:pPr>
        <w:spacing w:after="80" w:line="276"/>
        <w:ind w:left="720"/>
        <w:jc w:val="both"/>
      </w:pPr>
      <w:r>
        <w:rPr>
          <w:rFonts w:ascii="Times New Roman" w:cs="Times New Roman" w:eastAsia="Times New Roman" w:hAnsi="Times New Roman"/>
          <w:sz w:val="24"/>
          <w:szCs w:val="24"/>
        </w:rPr>
        <w:t xml:space="preserve">ii. Elaborar e submeter à aprovação da Assembleia o Plano de Safra Anual, incluindo o Plano de Uso das Zonas Flexíveis;</w:t>
      </w:r>
    </w:p>
    <w:p>
      <w:pPr>
        <w:spacing w:after="80" w:line="276"/>
        <w:ind w:left="720"/>
        <w:jc w:val="both"/>
      </w:pPr>
      <w:r>
        <w:rPr>
          <w:rFonts w:ascii="Times New Roman" w:cs="Times New Roman" w:eastAsia="Times New Roman" w:hAnsi="Times New Roman"/>
          <w:sz w:val="24"/>
          <w:szCs w:val="24"/>
        </w:rPr>
        <w:t xml:space="preserve">iii. Contratar e demitir empregados e prestadores de serviços;</w:t>
      </w:r>
    </w:p>
    <w:p>
      <w:pPr>
        <w:spacing w:after="80" w:line="276"/>
        <w:ind w:left="720"/>
        <w:jc w:val="both"/>
      </w:pPr>
      <w:r>
        <w:rPr>
          <w:rFonts w:ascii="Times New Roman" w:cs="Times New Roman" w:eastAsia="Times New Roman" w:hAnsi="Times New Roman"/>
          <w:sz w:val="24"/>
          <w:szCs w:val="24"/>
        </w:rPr>
        <w:t xml:space="preserve">iv. Assinar contratos de valor inferior a R$ {{limite_contrato_administrador}} sem prévia aprovação;</w:t>
      </w:r>
    </w:p>
    <w:p>
      <w:pPr>
        <w:spacing w:after="80" w:line="276"/>
        <w:ind w:left="720"/>
        <w:jc w:val="both"/>
      </w:pPr>
      <w:r>
        <w:rPr>
          <w:rFonts w:ascii="Times New Roman" w:cs="Times New Roman" w:eastAsia="Times New Roman" w:hAnsi="Times New Roman"/>
          <w:sz w:val="24"/>
          <w:szCs w:val="24"/>
        </w:rPr>
        <w:t xml:space="preserve">v. Manter os livros contábeis e fiscais do condomínio;</w:t>
      </w:r>
    </w:p>
    <w:p>
      <w:pPr>
        <w:spacing w:after="80" w:line="276"/>
        <w:ind w:left="720"/>
        <w:jc w:val="both"/>
      </w:pPr>
      <w:r>
        <w:rPr>
          <w:rFonts w:ascii="Times New Roman" w:cs="Times New Roman" w:eastAsia="Times New Roman" w:hAnsi="Times New Roman"/>
          <w:sz w:val="24"/>
          <w:szCs w:val="24"/>
        </w:rPr>
        <w:t xml:space="preserve">vi. Distribuir os resultados na proporção das cotas-parte, no prazo de {{prazo_distribuicao_dias}} dias após o encerramento de cada safra.</w:t>
      </w:r>
    </w:p>
    <w:p>
      <w:pPr>
        <w:spacing w:after="120" w:line="276"/>
        <w:jc w:val="both"/>
      </w:pPr>
      <w:r>
        <w:rPr>
          <w:rFonts w:ascii="Times New Roman" w:cs="Times New Roman" w:eastAsia="Times New Roman" w:hAnsi="Times New Roman"/>
          <w:b w:val="false"/>
          <w:bCs w:val="false"/>
          <w:i w:val="false"/>
          <w:iCs w:val="false"/>
          <w:sz w:val="24"/>
          <w:szCs w:val="24"/>
        </w:rPr>
        <w:t xml:space="preserve">§2º. O Administrador receberá remuneração mensal de R$ {{remuneracao_administrador}} (rubrica: {{rubrica_remuneracao}}), aprovada em Assembleia Geral.</w:t>
      </w:r>
    </w:p>
    <w:p>
      <w:pPr>
        <w:spacing w:after="80" w:before="160"/>
      </w:pPr>
      <w:r>
        <w:rPr>
          <w:rFonts w:ascii="Times New Roman" w:cs="Times New Roman" w:eastAsia="Times New Roman" w:hAnsi="Times New Roman"/>
          <w:b/>
          <w:bCs/>
          <w:sz w:val="24"/>
          <w:szCs w:val="24"/>
        </w:rPr>
        <w:t xml:space="preserve">CLÁUSULA DÉCIMA SEGUNDA — DA ASSEMBLEIA GERAL</w:t>
      </w:r>
    </w:p>
    <w:p>
      <w:pPr>
        <w:spacing w:after="120" w:line="276"/>
        <w:jc w:val="both"/>
      </w:pPr>
      <w:r>
        <w:rPr>
          <w:rFonts w:ascii="Times New Roman" w:cs="Times New Roman" w:eastAsia="Times New Roman" w:hAnsi="Times New Roman"/>
          <w:b w:val="false"/>
          <w:bCs w:val="false"/>
          <w:i w:val="false"/>
          <w:iCs w:val="false"/>
          <w:sz w:val="24"/>
          <w:szCs w:val="24"/>
        </w:rPr>
        <w:t xml:space="preserve">A Assembleia Geral é o órgão soberano do condomínio, competindo-lhe deliberar sobre todas as matérias não reservadas ao Administrador.</w:t>
      </w:r>
    </w:p>
    <w:p>
      <w:pPr>
        <w:spacing w:after="120" w:line="276"/>
        <w:jc w:val="both"/>
      </w:pPr>
      <w:r>
        <w:rPr>
          <w:rFonts w:ascii="Times New Roman" w:cs="Times New Roman" w:eastAsia="Times New Roman" w:hAnsi="Times New Roman"/>
          <w:b w:val="false"/>
          <w:bCs w:val="false"/>
          <w:i w:val="false"/>
          <w:iCs w:val="false"/>
          <w:sz w:val="24"/>
          <w:szCs w:val="24"/>
        </w:rPr>
        <w:t xml:space="preserve">§1º. A Assembleia Geral Ordinária reunir-se-á anualmente, no mês de {{mes_assembleia_ordinaria}}, para:</w:t>
      </w:r>
    </w:p>
    <w:p>
      <w:pPr>
        <w:spacing w:after="80" w:line="276"/>
        <w:ind w:left="720"/>
        <w:jc w:val="both"/>
      </w:pPr>
      <w:r>
        <w:rPr>
          <w:rFonts w:ascii="Times New Roman" w:cs="Times New Roman" w:eastAsia="Times New Roman" w:hAnsi="Times New Roman"/>
          <w:sz w:val="24"/>
          <w:szCs w:val="24"/>
        </w:rPr>
        <w:t xml:space="preserve">i. Aprovação das contas do exercício anterior;</w:t>
      </w:r>
    </w:p>
    <w:p>
      <w:pPr>
        <w:spacing w:after="80" w:line="276"/>
        <w:ind w:left="720"/>
        <w:jc w:val="both"/>
      </w:pPr>
      <w:r>
        <w:rPr>
          <w:rFonts w:ascii="Times New Roman" w:cs="Times New Roman" w:eastAsia="Times New Roman" w:hAnsi="Times New Roman"/>
          <w:sz w:val="24"/>
          <w:szCs w:val="24"/>
        </w:rPr>
        <w:t xml:space="preserve">ii. Eleição do Administrador (quando aplicável);</w:t>
      </w:r>
    </w:p>
    <w:p>
      <w:pPr>
        <w:spacing w:after="80" w:line="276"/>
        <w:ind w:left="720"/>
        <w:jc w:val="both"/>
      </w:pPr>
      <w:r>
        <w:rPr>
          <w:rFonts w:ascii="Times New Roman" w:cs="Times New Roman" w:eastAsia="Times New Roman" w:hAnsi="Times New Roman"/>
          <w:sz w:val="24"/>
          <w:szCs w:val="24"/>
        </w:rPr>
        <w:t xml:space="preserve">iii. Aprovação do Plano de Safra e do Plano de Uso da Área Comum para o exercício seguinte;</w:t>
      </w:r>
    </w:p>
    <w:p>
      <w:pPr>
        <w:spacing w:after="80" w:line="276"/>
        <w:ind w:left="720"/>
        <w:jc w:val="both"/>
      </w:pPr>
      <w:r>
        <w:rPr>
          <w:rFonts w:ascii="Times New Roman" w:cs="Times New Roman" w:eastAsia="Times New Roman" w:hAnsi="Times New Roman"/>
          <w:sz w:val="24"/>
          <w:szCs w:val="24"/>
        </w:rPr>
        <w:t xml:space="preserve">iv. Deliberação sobre distribuição de resultados.</w:t>
      </w:r>
    </w:p>
    <w:p>
      <w:pPr>
        <w:spacing w:after="120" w:line="276"/>
        <w:jc w:val="both"/>
      </w:pPr>
      <w:r>
        <w:rPr>
          <w:rFonts w:ascii="Times New Roman" w:cs="Times New Roman" w:eastAsia="Times New Roman" w:hAnsi="Times New Roman"/>
          <w:b w:val="false"/>
          <w:bCs w:val="false"/>
          <w:i w:val="false"/>
          <w:iCs w:val="false"/>
          <w:sz w:val="24"/>
          <w:szCs w:val="24"/>
        </w:rPr>
        <w:t xml:space="preserve">§2º. O quorum de deliberação será proporcional às cotas-parte, observados os seguintes limites:</w:t>
      </w:r>
    </w:p>
    <w:p>
      <w:pPr>
        <w:spacing w:after="80"/>
      </w:pPr>
    </w:p>
    <w:tbl>
      <w:tblPr>
        <w:tblW w:type="dxa" w:w="8800"/>
        <w:tblBorders>
          <w:top w:val="single" w:color="333333" w:sz="4"/>
          <w:left w:val="single" w:color="333333" w:sz="4"/>
          <w:bottom w:val="single" w:color="333333" w:sz="4"/>
          <w:right w:val="single" w:color="333333" w:sz="4"/>
          <w:insideH w:val="single" w:color="auto" w:sz="4"/>
          <w:insideV w:val="single" w:color="auto" w:sz="4"/>
        </w:tblBorders>
      </w:tblPr>
      <w:tblGrid>
        <w:gridCol w:w="5400"/>
        <w:gridCol w:w="3400"/>
      </w:tblGrid>
      <w:tr>
        <w:trPr>
          <w:tblHeader/>
        </w:trPr>
        <w:tc>
          <w:tcPr>
            <w:tcW w:type="dxa" w:w="5400"/>
            <w:shd w:fill="1a2e1a" w:val="clear"/>
          </w:tcPr>
          <w:p>
            <w:pPr>
              <w:jc w:val="center"/>
            </w:pPr>
            <w:r>
              <w:rPr>
                <w:rFonts w:ascii="Times New Roman" w:cs="Times New Roman" w:eastAsia="Times New Roman" w:hAnsi="Times New Roman"/>
                <w:b/>
                <w:bCs/>
                <w:color w:val="FFFFFF"/>
                <w:sz w:val="20"/>
                <w:szCs w:val="20"/>
              </w:rPr>
              <w:t xml:space="preserve">Matéria</w:t>
            </w:r>
          </w:p>
        </w:tc>
        <w:tc>
          <w:tcPr>
            <w:tcW w:type="dxa" w:w="3400"/>
            <w:shd w:fill="1a2e1a" w:val="clear"/>
          </w:tcPr>
          <w:p>
            <w:pPr>
              <w:jc w:val="center"/>
            </w:pPr>
            <w:r>
              <w:rPr>
                <w:rFonts w:ascii="Times New Roman" w:cs="Times New Roman" w:eastAsia="Times New Roman" w:hAnsi="Times New Roman"/>
                <w:b/>
                <w:bCs/>
                <w:color w:val="FFFFFF"/>
                <w:sz w:val="20"/>
                <w:szCs w:val="20"/>
              </w:rPr>
              <w:t xml:space="preserve">Quorum Mínimo</w:t>
            </w:r>
          </w:p>
        </w:tc>
      </w:tr>
      <w:tr>
        <w:tc>
          <w:tcPr>
            <w:tcW w:type="dxa" w:w="5400"/>
            <w:shd w:fill="f5f0e8" w:val="clear"/>
          </w:tcPr>
          <w:p>
            <w:pPr>
              <w:jc w:val="left"/>
            </w:pPr>
            <w:r>
              <w:rPr>
                <w:rFonts w:ascii="Times New Roman" w:cs="Times New Roman" w:eastAsia="Times New Roman" w:hAnsi="Times New Roman"/>
                <w:b w:val="false"/>
                <w:bCs w:val="false"/>
                <w:color w:val="000000"/>
                <w:sz w:val="20"/>
                <w:szCs w:val="20"/>
              </w:rPr>
              <w:t xml:space="preserve">Aprovação de contas e Plano de Safra</w:t>
            </w:r>
          </w:p>
        </w:tc>
        <w:tc>
          <w:tcPr>
            <w:tcW w:type="dxa" w:w="3400"/>
            <w:shd w:fill="f5f0e8" w:val="clear"/>
          </w:tcPr>
          <w:p>
            <w:pPr>
              <w:jc w:val="center"/>
            </w:pPr>
            <w:r>
              <w:rPr>
                <w:rFonts w:ascii="Times New Roman" w:cs="Times New Roman" w:eastAsia="Times New Roman" w:hAnsi="Times New Roman"/>
                <w:b w:val="false"/>
                <w:bCs w:val="false"/>
                <w:color w:val="000000"/>
                <w:sz w:val="20"/>
                <w:szCs w:val="20"/>
              </w:rPr>
              <w:t xml:space="preserve">Maioria simples (&gt; 50% das cotas)</w:t>
            </w:r>
          </w:p>
        </w:tc>
      </w:tr>
      <w:tr>
        <w:tc>
          <w:tcPr>
            <w:tcW w:type="dxa" w:w="5400"/>
            <w:shd w:fill="FFFFFF" w:val="clear"/>
          </w:tcPr>
          <w:p>
            <w:pPr>
              <w:jc w:val="left"/>
            </w:pPr>
            <w:r>
              <w:rPr>
                <w:rFonts w:ascii="Times New Roman" w:cs="Times New Roman" w:eastAsia="Times New Roman" w:hAnsi="Times New Roman"/>
                <w:b w:val="false"/>
                <w:bCs w:val="false"/>
                <w:color w:val="000000"/>
                <w:sz w:val="20"/>
                <w:szCs w:val="20"/>
              </w:rPr>
              <w:t xml:space="preserve">Definição de uso das Zonas Flexíveis (área comum)</w:t>
            </w:r>
          </w:p>
        </w:tc>
        <w:tc>
          <w:tcPr>
            <w:tcW w:type="dxa" w:w="3400"/>
            <w:shd w:fill="FFFFFF" w:val="clear"/>
          </w:tcPr>
          <w:p>
            <w:pPr>
              <w:jc w:val="center"/>
            </w:pPr>
            <w:r>
              <w:rPr>
                <w:rFonts w:ascii="Times New Roman" w:cs="Times New Roman" w:eastAsia="Times New Roman" w:hAnsi="Times New Roman"/>
                <w:b w:val="false"/>
                <w:bCs w:val="false"/>
                <w:color w:val="000000"/>
                <w:sz w:val="20"/>
                <w:szCs w:val="20"/>
              </w:rPr>
              <w:t xml:space="preserve">Maioria simples — garantido mínimo proporcional ao minoritário</w:t>
            </w:r>
          </w:p>
        </w:tc>
      </w:tr>
      <w:tr>
        <w:tc>
          <w:tcPr>
            <w:tcW w:type="dxa" w:w="5400"/>
            <w:shd w:fill="f5f0e8" w:val="clear"/>
          </w:tcPr>
          <w:p>
            <w:pPr>
              <w:jc w:val="left"/>
            </w:pPr>
            <w:r>
              <w:rPr>
                <w:rFonts w:ascii="Times New Roman" w:cs="Times New Roman" w:eastAsia="Times New Roman" w:hAnsi="Times New Roman"/>
                <w:b w:val="false"/>
                <w:bCs w:val="false"/>
                <w:color w:val="000000"/>
                <w:sz w:val="20"/>
                <w:szCs w:val="20"/>
              </w:rPr>
              <w:t xml:space="preserve">Eleição e destituição do Administrador</w:t>
            </w:r>
          </w:p>
        </w:tc>
        <w:tc>
          <w:tcPr>
            <w:tcW w:type="dxa" w:w="3400"/>
            <w:shd w:fill="f5f0e8" w:val="clear"/>
          </w:tcPr>
          <w:p>
            <w:pPr>
              <w:jc w:val="center"/>
            </w:pPr>
            <w:r>
              <w:rPr>
                <w:rFonts w:ascii="Times New Roman" w:cs="Times New Roman" w:eastAsia="Times New Roman" w:hAnsi="Times New Roman"/>
                <w:b w:val="false"/>
                <w:bCs w:val="false"/>
                <w:color w:val="000000"/>
                <w:sz w:val="20"/>
                <w:szCs w:val="20"/>
              </w:rPr>
              <w:t xml:space="preserve">Maioria absoluta (≥ 50% + 1 condômino)</w:t>
            </w:r>
          </w:p>
        </w:tc>
      </w:tr>
      <w:tr>
        <w:tc>
          <w:tcPr>
            <w:tcW w:type="dxa" w:w="5400"/>
            <w:shd w:fill="FFFFFF" w:val="clear"/>
          </w:tcPr>
          <w:p>
            <w:pPr>
              <w:jc w:val="left"/>
            </w:pPr>
            <w:r>
              <w:rPr>
                <w:rFonts w:ascii="Times New Roman" w:cs="Times New Roman" w:eastAsia="Times New Roman" w:hAnsi="Times New Roman"/>
                <w:b w:val="false"/>
                <w:bCs w:val="false"/>
                <w:color w:val="000000"/>
                <w:sz w:val="20"/>
                <w:szCs w:val="20"/>
              </w:rPr>
              <w:t xml:space="preserve">Admissão de novos condôminos</w:t>
            </w:r>
          </w:p>
        </w:tc>
        <w:tc>
          <w:tcPr>
            <w:tcW w:type="dxa" w:w="3400"/>
            <w:shd w:fill="FFFFFF" w:val="clear"/>
          </w:tcPr>
          <w:p>
            <w:pPr>
              <w:jc w:val="center"/>
            </w:pPr>
            <w:r>
              <w:rPr>
                <w:rFonts w:ascii="Times New Roman" w:cs="Times New Roman" w:eastAsia="Times New Roman" w:hAnsi="Times New Roman"/>
                <w:b w:val="false"/>
                <w:bCs w:val="false"/>
                <w:color w:val="000000"/>
                <w:sz w:val="20"/>
                <w:szCs w:val="20"/>
              </w:rPr>
              <w:t xml:space="preserve">Dois terços (2/3) das cotas</w:t>
            </w:r>
          </w:p>
        </w:tc>
      </w:tr>
      <w:tr>
        <w:tc>
          <w:tcPr>
            <w:tcW w:type="dxa" w:w="5400"/>
            <w:shd w:fill="f5f0e8" w:val="clear"/>
          </w:tcPr>
          <w:p>
            <w:pPr>
              <w:jc w:val="left"/>
            </w:pPr>
            <w:r>
              <w:rPr>
                <w:rFonts w:ascii="Times New Roman" w:cs="Times New Roman" w:eastAsia="Times New Roman" w:hAnsi="Times New Roman"/>
                <w:b w:val="false"/>
                <w:bCs w:val="false"/>
                <w:color w:val="000000"/>
                <w:sz w:val="20"/>
                <w:szCs w:val="20"/>
              </w:rPr>
              <w:t xml:space="preserve">Alteração do Plano de Uso da Terra</w:t>
            </w:r>
          </w:p>
        </w:tc>
        <w:tc>
          <w:tcPr>
            <w:tcW w:type="dxa" w:w="3400"/>
            <w:shd w:fill="f5f0e8" w:val="clear"/>
          </w:tcPr>
          <w:p>
            <w:pPr>
              <w:jc w:val="center"/>
            </w:pPr>
            <w:r>
              <w:rPr>
                <w:rFonts w:ascii="Times New Roman" w:cs="Times New Roman" w:eastAsia="Times New Roman" w:hAnsi="Times New Roman"/>
                <w:b w:val="false"/>
                <w:bCs w:val="false"/>
                <w:color w:val="000000"/>
                <w:sz w:val="20"/>
                <w:szCs w:val="20"/>
              </w:rPr>
              <w:t xml:space="preserve">Dois terços (2/3) das cotas</w:t>
            </w:r>
          </w:p>
        </w:tc>
      </w:tr>
      <w:tr>
        <w:tc>
          <w:tcPr>
            <w:tcW w:type="dxa" w:w="5400"/>
            <w:shd w:fill="FFFFFF" w:val="clear"/>
          </w:tcPr>
          <w:p>
            <w:pPr>
              <w:jc w:val="left"/>
            </w:pPr>
            <w:r>
              <w:rPr>
                <w:rFonts w:ascii="Times New Roman" w:cs="Times New Roman" w:eastAsia="Times New Roman" w:hAnsi="Times New Roman"/>
                <w:b w:val="false"/>
                <w:bCs w:val="false"/>
                <w:color w:val="000000"/>
                <w:sz w:val="20"/>
                <w:szCs w:val="20"/>
              </w:rPr>
              <w:t xml:space="preserve">Parcerias com terceiros</w:t>
            </w:r>
          </w:p>
        </w:tc>
        <w:tc>
          <w:tcPr>
            <w:tcW w:type="dxa" w:w="3400"/>
            <w:shd w:fill="FFFFFF" w:val="clear"/>
          </w:tcPr>
          <w:p>
            <w:pPr>
              <w:jc w:val="center"/>
            </w:pPr>
            <w:r>
              <w:rPr>
                <w:rFonts w:ascii="Times New Roman" w:cs="Times New Roman" w:eastAsia="Times New Roman" w:hAnsi="Times New Roman"/>
                <w:b w:val="false"/>
                <w:bCs w:val="false"/>
                <w:color w:val="000000"/>
                <w:sz w:val="20"/>
                <w:szCs w:val="20"/>
              </w:rPr>
              <w:t xml:space="preserve">Dois terços (2/3) das cotas</w:t>
            </w:r>
          </w:p>
        </w:tc>
      </w:tr>
      <w:tr>
        <w:tc>
          <w:tcPr>
            <w:tcW w:type="dxa" w:w="5400"/>
            <w:shd w:fill="f5f0e8" w:val="clear"/>
          </w:tcPr>
          <w:p>
            <w:pPr>
              <w:jc w:val="left"/>
            </w:pPr>
            <w:r>
              <w:rPr>
                <w:rFonts w:ascii="Times New Roman" w:cs="Times New Roman" w:eastAsia="Times New Roman" w:hAnsi="Times New Roman"/>
                <w:b w:val="false"/>
                <w:bCs w:val="false"/>
                <w:color w:val="000000"/>
                <w:sz w:val="20"/>
                <w:szCs w:val="20"/>
              </w:rPr>
              <w:t xml:space="preserve">Alteração deste contrato</w:t>
            </w:r>
          </w:p>
        </w:tc>
        <w:tc>
          <w:tcPr>
            <w:tcW w:type="dxa" w:w="3400"/>
            <w:shd w:fill="f5f0e8" w:val="clear"/>
          </w:tcPr>
          <w:p>
            <w:pPr>
              <w:jc w:val="center"/>
            </w:pPr>
            <w:r>
              <w:rPr>
                <w:rFonts w:ascii="Times New Roman" w:cs="Times New Roman" w:eastAsia="Times New Roman" w:hAnsi="Times New Roman"/>
                <w:b w:val="false"/>
                <w:bCs w:val="false"/>
                <w:color w:val="000000"/>
                <w:sz w:val="20"/>
                <w:szCs w:val="20"/>
              </w:rPr>
              <w:t xml:space="preserve">Dois terços (2/3) das cotas</w:t>
            </w:r>
          </w:p>
        </w:tc>
      </w:tr>
      <w:tr>
        <w:tc>
          <w:tcPr>
            <w:tcW w:type="dxa" w:w="5400"/>
            <w:shd w:fill="FFFFFF" w:val="clear"/>
          </w:tcPr>
          <w:p>
            <w:pPr>
              <w:jc w:val="left"/>
            </w:pPr>
            <w:r>
              <w:rPr>
                <w:rFonts w:ascii="Times New Roman" w:cs="Times New Roman" w:eastAsia="Times New Roman" w:hAnsi="Times New Roman"/>
                <w:b w:val="false"/>
                <w:bCs w:val="false"/>
                <w:color w:val="000000"/>
                <w:sz w:val="20"/>
                <w:szCs w:val="20"/>
              </w:rPr>
              <w:t xml:space="preserve">Alteração das Zonas Fixas da área comum ⭐</w:t>
            </w:r>
          </w:p>
        </w:tc>
        <w:tc>
          <w:tcPr>
            <w:tcW w:type="dxa" w:w="3400"/>
            <w:shd w:fill="FFFFFF" w:val="clear"/>
          </w:tcPr>
          <w:p>
            <w:pPr>
              <w:jc w:val="center"/>
            </w:pPr>
            <w:r>
              <w:rPr>
                <w:rFonts w:ascii="Times New Roman" w:cs="Times New Roman" w:eastAsia="Times New Roman" w:hAnsi="Times New Roman"/>
                <w:b/>
                <w:bCs/>
                <w:color w:val="8B0000"/>
                <w:sz w:val="20"/>
                <w:szCs w:val="20"/>
              </w:rPr>
              <w:t xml:space="preserve">UNANIMIDADE</w:t>
            </w:r>
          </w:p>
        </w:tc>
      </w:tr>
      <w:tr>
        <w:tc>
          <w:tcPr>
            <w:tcW w:type="dxa" w:w="5400"/>
            <w:shd w:fill="f5f0e8" w:val="clear"/>
          </w:tcPr>
          <w:p>
            <w:pPr>
              <w:jc w:val="left"/>
            </w:pPr>
            <w:r>
              <w:rPr>
                <w:rFonts w:ascii="Times New Roman" w:cs="Times New Roman" w:eastAsia="Times New Roman" w:hAnsi="Times New Roman"/>
                <w:b w:val="false"/>
                <w:bCs w:val="false"/>
                <w:color w:val="000000"/>
                <w:sz w:val="20"/>
                <w:szCs w:val="20"/>
              </w:rPr>
              <w:t xml:space="preserve">Desmembramento da área comum ⭐</w:t>
            </w:r>
          </w:p>
        </w:tc>
        <w:tc>
          <w:tcPr>
            <w:tcW w:type="dxa" w:w="3400"/>
            <w:shd w:fill="f5f0e8" w:val="clear"/>
          </w:tcPr>
          <w:p>
            <w:pPr>
              <w:jc w:val="center"/>
            </w:pPr>
            <w:r>
              <w:rPr>
                <w:rFonts w:ascii="Times New Roman" w:cs="Times New Roman" w:eastAsia="Times New Roman" w:hAnsi="Times New Roman"/>
                <w:b/>
                <w:bCs/>
                <w:color w:val="8B0000"/>
                <w:sz w:val="20"/>
                <w:szCs w:val="20"/>
              </w:rPr>
              <w:t xml:space="preserve">UNANIMIDADE</w:t>
            </w:r>
          </w:p>
        </w:tc>
      </w:tr>
      <w:tr>
        <w:tc>
          <w:tcPr>
            <w:tcW w:type="dxa" w:w="5400"/>
            <w:shd w:fill="FFFFFF" w:val="clear"/>
          </w:tcPr>
          <w:p>
            <w:pPr>
              <w:jc w:val="left"/>
            </w:pPr>
            <w:r>
              <w:rPr>
                <w:rFonts w:ascii="Times New Roman" w:cs="Times New Roman" w:eastAsia="Times New Roman" w:hAnsi="Times New Roman"/>
                <w:b w:val="false"/>
                <w:bCs w:val="false"/>
                <w:color w:val="000000"/>
                <w:sz w:val="20"/>
                <w:szCs w:val="20"/>
              </w:rPr>
              <w:t xml:space="preserve">Conversão pro diviso / alienação do imóvel ⭐</w:t>
            </w:r>
          </w:p>
        </w:tc>
        <w:tc>
          <w:tcPr>
            <w:tcW w:type="dxa" w:w="3400"/>
            <w:shd w:fill="FFFFFF" w:val="clear"/>
          </w:tcPr>
          <w:p>
            <w:pPr>
              <w:jc w:val="center"/>
            </w:pPr>
            <w:r>
              <w:rPr>
                <w:rFonts w:ascii="Times New Roman" w:cs="Times New Roman" w:eastAsia="Times New Roman" w:hAnsi="Times New Roman"/>
                <w:b/>
                <w:bCs/>
                <w:color w:val="8B0000"/>
                <w:sz w:val="20"/>
                <w:szCs w:val="20"/>
              </w:rPr>
              <w:t xml:space="preserve">UNANIMIDADE</w:t>
            </w:r>
          </w:p>
        </w:tc>
      </w:tr>
    </w:tbl>
    <w:p>
      <w:pPr>
        <w:spacing w:after="120"/>
      </w:pPr>
    </w:p>
    <w:p>
      <w:pPr>
        <w:spacing w:after="80" w:before="160"/>
      </w:pPr>
      <w:r>
        <w:rPr>
          <w:rFonts w:ascii="Times New Roman" w:cs="Times New Roman" w:eastAsia="Times New Roman" w:hAnsi="Times New Roman"/>
          <w:b/>
          <w:bCs/>
          <w:sz w:val="24"/>
          <w:szCs w:val="24"/>
        </w:rPr>
        <w:t xml:space="preserve">CLÁUSULA DÉCIMA TERCEIRA — DO PLANO DE SAFRA ANUAL</w:t>
      </w:r>
    </w:p>
    <w:p>
      <w:pPr>
        <w:spacing w:after="120" w:line="276"/>
        <w:jc w:val="both"/>
      </w:pPr>
      <w:r>
        <w:rPr>
          <w:rFonts w:ascii="Times New Roman" w:cs="Times New Roman" w:eastAsia="Times New Roman" w:hAnsi="Times New Roman"/>
          <w:b w:val="false"/>
          <w:bCs w:val="false"/>
          <w:i w:val="false"/>
          <w:iCs w:val="false"/>
          <w:sz w:val="24"/>
          <w:szCs w:val="24"/>
        </w:rPr>
        <w:t xml:space="preserve">Até o dia 31 de outubro de cada ano, o Administrador submeterá à aprovação da Assembleia Geral o Plano de Safra para o exercício seguinte, contendo obrigatoriamente:</w:t>
      </w:r>
    </w:p>
    <w:p>
      <w:pPr>
        <w:spacing w:after="80" w:line="276"/>
        <w:ind w:left="720"/>
        <w:jc w:val="both"/>
      </w:pPr>
      <w:r>
        <w:rPr>
          <w:rFonts w:ascii="Times New Roman" w:cs="Times New Roman" w:eastAsia="Times New Roman" w:hAnsi="Times New Roman"/>
          <w:sz w:val="24"/>
          <w:szCs w:val="24"/>
        </w:rPr>
        <w:t xml:space="preserve">i. Mapa de uso do solo — áreas individualizadas e Zonas Flexíveis da área comum;</w:t>
      </w:r>
    </w:p>
    <w:p>
      <w:pPr>
        <w:spacing w:after="80" w:line="276"/>
        <w:ind w:left="720"/>
        <w:jc w:val="both"/>
      </w:pPr>
      <w:r>
        <w:rPr>
          <w:rFonts w:ascii="Times New Roman" w:cs="Times New Roman" w:eastAsia="Times New Roman" w:hAnsi="Times New Roman"/>
          <w:sz w:val="24"/>
          <w:szCs w:val="24"/>
        </w:rPr>
        <w:t xml:space="preserve">ii. Culturas e espécies a serem exploradas;</w:t>
      </w:r>
    </w:p>
    <w:p>
      <w:pPr>
        <w:spacing w:after="80" w:line="276"/>
        <w:ind w:left="720"/>
        <w:jc w:val="both"/>
      </w:pPr>
      <w:r>
        <w:rPr>
          <w:rFonts w:ascii="Times New Roman" w:cs="Times New Roman" w:eastAsia="Times New Roman" w:hAnsi="Times New Roman"/>
          <w:sz w:val="24"/>
          <w:szCs w:val="24"/>
        </w:rPr>
        <w:t xml:space="preserve">iii. Estimativa de produção e receitas;</w:t>
      </w:r>
    </w:p>
    <w:p>
      <w:pPr>
        <w:spacing w:after="80" w:line="276"/>
        <w:ind w:left="720"/>
        <w:jc w:val="both"/>
      </w:pPr>
      <w:r>
        <w:rPr>
          <w:rFonts w:ascii="Times New Roman" w:cs="Times New Roman" w:eastAsia="Times New Roman" w:hAnsi="Times New Roman"/>
          <w:sz w:val="24"/>
          <w:szCs w:val="24"/>
        </w:rPr>
        <w:t xml:space="preserve">iv. Orçamento de custeio e investimento, incluindo manutenção das áreas comuns;</w:t>
      </w:r>
    </w:p>
    <w:p>
      <w:pPr>
        <w:spacing w:after="80" w:line="276"/>
        <w:ind w:left="720"/>
        <w:jc w:val="both"/>
      </w:pPr>
      <w:r>
        <w:rPr>
          <w:rFonts w:ascii="Times New Roman" w:cs="Times New Roman" w:eastAsia="Times New Roman" w:hAnsi="Times New Roman"/>
          <w:sz w:val="24"/>
          <w:szCs w:val="24"/>
        </w:rPr>
        <w:t xml:space="preserve">v. Cronograma de operações;</w:t>
      </w:r>
    </w:p>
    <w:p>
      <w:pPr>
        <w:spacing w:after="80" w:line="276"/>
        <w:ind w:left="720"/>
        <w:jc w:val="both"/>
      </w:pPr>
      <w:r>
        <w:rPr>
          <w:rFonts w:ascii="Times New Roman" w:cs="Times New Roman" w:eastAsia="Times New Roman" w:hAnsi="Times New Roman"/>
          <w:sz w:val="24"/>
          <w:szCs w:val="24"/>
        </w:rPr>
        <w:t xml:space="preserve">vi. Indicadores de desempenho (produtividade, ICA, mortalidade).</w:t>
      </w:r>
    </w:p>
    <w:p>
      <w:pPr>
        <w:spacing w:after="120" w:line="276"/>
        <w:jc w:val="both"/>
      </w:pPr>
      <w:r>
        <w:rPr>
          <w:rFonts w:ascii="Times New Roman" w:cs="Times New Roman" w:eastAsia="Times New Roman" w:hAnsi="Times New Roman"/>
          <w:b w:val="false"/>
          <w:bCs w:val="false"/>
          <w:i w:val="false"/>
          <w:iCs w:val="false"/>
          <w:sz w:val="24"/>
          <w:szCs w:val="24"/>
        </w:rPr>
        <w:t xml:space="preserve">Parágrafo único. O Plano de Safra aprovado é vinculante para todos os condôminos, sendo os desvios superiores a {{tolerancia_desvio_plano_pct}}% submetidos à nova deliberação.</w:t>
      </w:r>
    </w:p>
    <w:p>
      <w:pPr>
        <w:spacing w:after="100" w:before="200"/>
        <w:jc w:val="center"/>
      </w:pPr>
      <w:r>
        <w:rPr>
          <w:rFonts w:ascii="Times New Roman" w:cs="Times New Roman" w:eastAsia="Times New Roman" w:hAnsi="Times New Roman"/>
          <w:b/>
          <w:bCs/>
          <w:caps/>
          <w:sz w:val="24"/>
          <w:szCs w:val="24"/>
        </w:rPr>
        <w:t xml:space="preserve">PARTE VII — TRANSMISSÃO DE COTAS E RETIRADA</w:t>
      </w:r>
    </w:p>
    <w:p>
      <w:pPr>
        <w:spacing w:after="80" w:before="160"/>
      </w:pPr>
      <w:r>
        <w:rPr>
          <w:rFonts w:ascii="Times New Roman" w:cs="Times New Roman" w:eastAsia="Times New Roman" w:hAnsi="Times New Roman"/>
          <w:b/>
          <w:bCs/>
          <w:sz w:val="24"/>
          <w:szCs w:val="24"/>
        </w:rPr>
        <w:t xml:space="preserve">CLÁUSULA DÉCIMA QUARTA — DA TRANSMISSÃO DE COTAS E ADMISSÃO DE NOVOS CONDÔMINOS</w:t>
      </w:r>
    </w:p>
    <w:p>
      <w:pPr>
        <w:spacing w:after="120" w:line="276"/>
        <w:jc w:val="both"/>
      </w:pPr>
      <w:r>
        <w:rPr>
          <w:rFonts w:ascii="Times New Roman" w:cs="Times New Roman" w:eastAsia="Times New Roman" w:hAnsi="Times New Roman"/>
          <w:b w:val="false"/>
          <w:bCs w:val="false"/>
          <w:i w:val="false"/>
          <w:iCs w:val="false"/>
          <w:sz w:val="24"/>
          <w:szCs w:val="24"/>
        </w:rPr>
        <w:t xml:space="preserve">O condômino que desejar alienar sua cota-parte deverá:</w:t>
      </w:r>
    </w:p>
    <w:p>
      <w:pPr>
        <w:spacing w:after="80" w:line="276"/>
        <w:ind w:left="720"/>
        <w:jc w:val="both"/>
      </w:pPr>
      <w:r>
        <w:rPr>
          <w:rFonts w:ascii="Times New Roman" w:cs="Times New Roman" w:eastAsia="Times New Roman" w:hAnsi="Times New Roman"/>
          <w:sz w:val="24"/>
          <w:szCs w:val="24"/>
        </w:rPr>
        <w:t xml:space="preserve">i. Notificar os demais condôminos por escrito, com oferta formal contendo preço, prazo e condições;</w:t>
      </w:r>
    </w:p>
    <w:p>
      <w:pPr>
        <w:spacing w:after="80" w:line="276"/>
        <w:ind w:left="720"/>
        <w:jc w:val="both"/>
      </w:pPr>
      <w:r>
        <w:rPr>
          <w:rFonts w:ascii="Times New Roman" w:cs="Times New Roman" w:eastAsia="Times New Roman" w:hAnsi="Times New Roman"/>
          <w:sz w:val="24"/>
          <w:szCs w:val="24"/>
        </w:rPr>
        <w:t xml:space="preserve">ii. Aguardar 30 (trinta) dias para exercício do DIREITO DE PREFERÊNCIA pelos demais condôminos, na proporção de suas cotas;</w:t>
      </w:r>
    </w:p>
    <w:p>
      <w:pPr>
        <w:spacing w:after="80" w:line="276"/>
        <w:ind w:left="720"/>
        <w:jc w:val="both"/>
      </w:pPr>
      <w:r>
        <w:rPr>
          <w:rFonts w:ascii="Times New Roman" w:cs="Times New Roman" w:eastAsia="Times New Roman" w:hAnsi="Times New Roman"/>
          <w:sz w:val="24"/>
          <w:szCs w:val="24"/>
        </w:rPr>
        <w:t xml:space="preserve">iii. Em caso de renúncia ou silêncio, poderá alienar a terceiros nas mesmas condições ofertadas;</w:t>
      </w:r>
    </w:p>
    <w:p>
      <w:pPr>
        <w:spacing w:after="80" w:line="276"/>
        <w:ind w:left="720"/>
        <w:jc w:val="both"/>
      </w:pPr>
      <w:r>
        <w:rPr>
          <w:rFonts w:ascii="Times New Roman" w:cs="Times New Roman" w:eastAsia="Times New Roman" w:hAnsi="Times New Roman"/>
          <w:sz w:val="24"/>
          <w:szCs w:val="24"/>
        </w:rPr>
        <w:t xml:space="preserve">iv. A admissão de terceiro como condômino depende de aprovação em Assembleia Geral por dois terços (2/3) das cotas.</w:t>
      </w:r>
    </w:p>
    <w:p>
      <w:pPr>
        <w:spacing w:after="120" w:line="276"/>
        <w:jc w:val="both"/>
      </w:pPr>
      <w:r>
        <w:rPr>
          <w:rFonts w:ascii="Times New Roman" w:cs="Times New Roman" w:eastAsia="Times New Roman" w:hAnsi="Times New Roman"/>
          <w:b w:val="false"/>
          <w:bCs w:val="false"/>
          <w:i w:val="false"/>
          <w:iCs w:val="false"/>
          <w:sz w:val="24"/>
          <w:szCs w:val="24"/>
        </w:rPr>
        <w:t xml:space="preserve">Parágrafo único. A transmissão por herança é automaticamente admitida, devendo os herdeiros indicar um representante único no prazo de 90 (noventa) dias após a abertura do inventário.</w:t>
      </w:r>
    </w:p>
    <w:p>
      <w:pPr>
        <w:spacing w:after="80" w:before="160"/>
      </w:pPr>
      <w:r>
        <w:rPr>
          <w:rFonts w:ascii="Times New Roman" w:cs="Times New Roman" w:eastAsia="Times New Roman" w:hAnsi="Times New Roman"/>
          <w:b/>
          <w:bCs/>
          <w:sz w:val="24"/>
          <w:szCs w:val="24"/>
        </w:rPr>
        <w:t xml:space="preserve">CLÁUSULA DÉCIMA QUINTA — DA RETIRADA DE CONDÔMINO</w:t>
      </w:r>
    </w:p>
    <w:p>
      <w:pPr>
        <w:spacing w:after="120" w:line="276"/>
        <w:jc w:val="both"/>
      </w:pPr>
      <w:r>
        <w:rPr>
          <w:rFonts w:ascii="Times New Roman" w:cs="Times New Roman" w:eastAsia="Times New Roman" w:hAnsi="Times New Roman"/>
          <w:b w:val="false"/>
          <w:bCs w:val="false"/>
          <w:i w:val="false"/>
          <w:iCs w:val="false"/>
          <w:sz w:val="24"/>
          <w:szCs w:val="24"/>
        </w:rPr>
        <w:t xml:space="preserve">O condômino poderá se retirar do condomínio mediante:</w:t>
      </w:r>
    </w:p>
    <w:p>
      <w:pPr>
        <w:spacing w:after="80" w:line="276"/>
        <w:ind w:left="720"/>
        <w:jc w:val="both"/>
      </w:pPr>
      <w:r>
        <w:rPr>
          <w:rFonts w:ascii="Times New Roman" w:cs="Times New Roman" w:eastAsia="Times New Roman" w:hAnsi="Times New Roman"/>
          <w:sz w:val="24"/>
          <w:szCs w:val="24"/>
        </w:rPr>
        <w:t xml:space="preserve">i. Notificação prévia de {{prazo_notificacao_retirada_meses}} meses;</w:t>
      </w:r>
    </w:p>
    <w:p>
      <w:pPr>
        <w:spacing w:after="80" w:line="276"/>
        <w:ind w:left="720"/>
        <w:jc w:val="both"/>
      </w:pPr>
      <w:r>
        <w:rPr>
          <w:rFonts w:ascii="Times New Roman" w:cs="Times New Roman" w:eastAsia="Times New Roman" w:hAnsi="Times New Roman"/>
          <w:sz w:val="24"/>
          <w:szCs w:val="24"/>
        </w:rPr>
        <w:t xml:space="preserve">ii. Quitação de todas as obrigações junto ao condomínio;</w:t>
      </w:r>
    </w:p>
    <w:p>
      <w:pPr>
        <w:spacing w:after="80" w:line="276"/>
        <w:ind w:left="720"/>
        <w:jc w:val="both"/>
      </w:pPr>
      <w:r>
        <w:rPr>
          <w:rFonts w:ascii="Times New Roman" w:cs="Times New Roman" w:eastAsia="Times New Roman" w:hAnsi="Times New Roman"/>
          <w:sz w:val="24"/>
          <w:szCs w:val="24"/>
        </w:rPr>
        <w:t xml:space="preserve">iii. Avaliação de sua fração por perito independente, custeada pelo condômino retirante;</w:t>
      </w:r>
    </w:p>
    <w:p>
      <w:pPr>
        <w:spacing w:after="80" w:line="276"/>
        <w:ind w:left="720"/>
        <w:jc w:val="both"/>
      </w:pPr>
      <w:r>
        <w:rPr>
          <w:rFonts w:ascii="Times New Roman" w:cs="Times New Roman" w:eastAsia="Times New Roman" w:hAnsi="Times New Roman"/>
          <w:sz w:val="24"/>
          <w:szCs w:val="24"/>
        </w:rPr>
        <w:t xml:space="preserve">iv. Pagamento do valor apurado no prazo de {{prazo_pagamento_retirada_meses}} meses.</w:t>
      </w:r>
    </w:p>
    <w:p>
      <w:pPr>
        <w:spacing w:after="120" w:line="276"/>
        <w:jc w:val="both"/>
      </w:pPr>
      <w:r>
        <w:rPr>
          <w:rFonts w:ascii="Times New Roman" w:cs="Times New Roman" w:eastAsia="Times New Roman" w:hAnsi="Times New Roman"/>
          <w:b w:val="false"/>
          <w:bCs w:val="false"/>
          <w:i w:val="false"/>
          <w:iCs w:val="false"/>
          <w:sz w:val="24"/>
          <w:szCs w:val="24"/>
        </w:rPr>
        <w:t xml:space="preserve">Parágrafo único. Na retirada, o condômino poderá optar por:</w:t>
      </w:r>
    </w:p>
    <w:p>
      <w:pPr>
        <w:spacing w:after="80" w:line="276"/>
        <w:ind w:left="720"/>
        <w:jc w:val="both"/>
      </w:pPr>
      <w:r>
        <w:rPr>
          <w:rFonts w:ascii="Times New Roman" w:cs="Times New Roman" w:eastAsia="Times New Roman" w:hAnsi="Times New Roman"/>
          <w:sz w:val="24"/>
          <w:szCs w:val="24"/>
        </w:rPr>
        <w:t xml:space="preserve">a) Alienar sua área privativa aos demais condôminos, com direito de preferência destes na proporção de suas cotas;</w:t>
      </w:r>
    </w:p>
    <w:p>
      <w:pPr>
        <w:spacing w:after="80" w:line="276"/>
        <w:ind w:left="720"/>
        <w:jc w:val="both"/>
      </w:pPr>
      <w:r>
        <w:rPr>
          <w:rFonts w:ascii="Times New Roman" w:cs="Times New Roman" w:eastAsia="Times New Roman" w:hAnsi="Times New Roman"/>
          <w:sz w:val="24"/>
          <w:szCs w:val="24"/>
        </w:rPr>
        <w:t xml:space="preserve">b) Retirar-se apenas da área comum, mantendo sua área privativa desmembrada sob matrícula própria, sem direito de uso da área comum;</w:t>
      </w:r>
    </w:p>
    <w:p>
      <w:pPr>
        <w:spacing w:after="80" w:line="276"/>
        <w:ind w:left="720"/>
        <w:jc w:val="both"/>
      </w:pPr>
      <w:r>
        <w:rPr>
          <w:rFonts w:ascii="Times New Roman" w:cs="Times New Roman" w:eastAsia="Times New Roman" w:hAnsi="Times New Roman"/>
          <w:sz w:val="24"/>
          <w:szCs w:val="24"/>
        </w:rPr>
        <w:t xml:space="preserve">c) Alienar sua cota integral (área privativa + fração ideal da área comum) a terceiro aprovado em Assembleia Geral por dois terços (2/3) das cotas.</w:t>
      </w:r>
    </w:p>
    <w:p>
      <w:pPr>
        <w:spacing w:after="100" w:before="200"/>
        <w:jc w:val="center"/>
      </w:pPr>
      <w:r>
        <w:rPr>
          <w:rFonts w:ascii="Times New Roman" w:cs="Times New Roman" w:eastAsia="Times New Roman" w:hAnsi="Times New Roman"/>
          <w:b/>
          <w:bCs/>
          <w:caps/>
          <w:sz w:val="24"/>
          <w:szCs w:val="24"/>
        </w:rPr>
        <w:t xml:space="preserve">PARTE VIII — TRIBUTAÇÃO, MEIO AMBIENTE E RESPONSABILIDADES</w:t>
      </w:r>
    </w:p>
    <w:p>
      <w:pPr>
        <w:spacing w:after="80" w:before="160"/>
      </w:pPr>
      <w:r>
        <w:rPr>
          <w:rFonts w:ascii="Times New Roman" w:cs="Times New Roman" w:eastAsia="Times New Roman" w:hAnsi="Times New Roman"/>
          <w:b/>
          <w:bCs/>
          <w:sz w:val="24"/>
          <w:szCs w:val="24"/>
        </w:rPr>
        <w:t xml:space="preserve">CLÁUSULA DÉCIMA SEXTA — DA TRIBUTAÇÃO</w:t>
      </w:r>
    </w:p>
    <w:p>
      <w:pPr>
        <w:spacing w:after="120" w:line="276"/>
        <w:jc w:val="both"/>
      </w:pPr>
      <w:r>
        <w:rPr>
          <w:rFonts w:ascii="Times New Roman" w:cs="Times New Roman" w:eastAsia="Times New Roman" w:hAnsi="Times New Roman"/>
          <w:b w:val="false"/>
          <w:bCs w:val="false"/>
          <w:i w:val="false"/>
          <w:iCs w:val="false"/>
          <w:sz w:val="24"/>
          <w:szCs w:val="24"/>
        </w:rPr>
        <w:t xml:space="preserve">Cada condômino é individualmente responsável pelo recolhimento de seus tributos. Os condôminos poderão ser pessoas físicas ou jurídicas, adotando, independentemente dos demais, o regime tributário mais adequado à sua condição:</w:t>
      </w:r>
    </w:p>
    <w:p>
      <w:pPr>
        <w:spacing w:after="120" w:line="276"/>
        <w:jc w:val="both"/>
      </w:pPr>
      <w:r>
        <w:rPr>
          <w:rFonts w:ascii="Times New Roman" w:cs="Times New Roman" w:eastAsia="Times New Roman" w:hAnsi="Times New Roman"/>
          <w:b w:val="false"/>
          <w:bCs w:val="false"/>
          <w:i w:val="false"/>
          <w:iCs w:val="false"/>
          <w:sz w:val="24"/>
          <w:szCs w:val="24"/>
        </w:rPr>
        <w:t xml:space="preserve">§1º. Condômino Pessoa Física (Produtor Rural PF):</w:t>
      </w:r>
    </w:p>
    <w:p>
      <w:pPr>
        <w:spacing w:after="80" w:line="276"/>
        <w:ind w:left="720"/>
        <w:jc w:val="both"/>
      </w:pPr>
      <w:r>
        <w:rPr>
          <w:rFonts w:ascii="Times New Roman" w:cs="Times New Roman" w:eastAsia="Times New Roman" w:hAnsi="Times New Roman"/>
          <w:sz w:val="24"/>
          <w:szCs w:val="24"/>
        </w:rPr>
        <w:t xml:space="preserve">i. Livro Caixa Digital do Produtor Rural — LCDPR (Instrução Normativa RFB nº 1.848/2018);</w:t>
      </w:r>
    </w:p>
    <w:p>
      <w:pPr>
        <w:spacing w:after="80" w:line="276"/>
        <w:ind w:left="720"/>
        <w:jc w:val="both"/>
      </w:pPr>
      <w:r>
        <w:rPr>
          <w:rFonts w:ascii="Times New Roman" w:cs="Times New Roman" w:eastAsia="Times New Roman" w:hAnsi="Times New Roman"/>
          <w:sz w:val="24"/>
          <w:szCs w:val="24"/>
        </w:rPr>
        <w:t xml:space="preserve">ii. Carnê-Leão, quando a receita bruta anual for inferior ao limite de obrigatoriedade do LCDPR;</w:t>
      </w:r>
    </w:p>
    <w:p>
      <w:pPr>
        <w:spacing w:after="80" w:line="276"/>
        <w:ind w:left="720"/>
        <w:jc w:val="both"/>
      </w:pPr>
      <w:r>
        <w:rPr>
          <w:rFonts w:ascii="Times New Roman" w:cs="Times New Roman" w:eastAsia="Times New Roman" w:hAnsi="Times New Roman"/>
          <w:sz w:val="24"/>
          <w:szCs w:val="24"/>
        </w:rPr>
        <w:t xml:space="preserve">iii. Recolhimento do INSS como contribuinte individual (2,0% ou 2,3% sobre a receita bruta, conforme opção pelo SENAR).</w:t>
      </w:r>
    </w:p>
    <w:p>
      <w:pPr>
        <w:spacing w:after="120" w:line="276"/>
        <w:jc w:val="both"/>
      </w:pPr>
      <w:r>
        <w:rPr>
          <w:rFonts w:ascii="Times New Roman" w:cs="Times New Roman" w:eastAsia="Times New Roman" w:hAnsi="Times New Roman"/>
          <w:b w:val="false"/>
          <w:bCs w:val="false"/>
          <w:i w:val="false"/>
          <w:iCs w:val="false"/>
          <w:sz w:val="24"/>
          <w:szCs w:val="24"/>
        </w:rPr>
        <w:t xml:space="preserve">§2º. Condômino Pessoa Jurídica (Produtor Rural PJ):</w:t>
      </w:r>
    </w:p>
    <w:p>
      <w:pPr>
        <w:spacing w:after="80" w:line="276"/>
        <w:ind w:left="720"/>
        <w:jc w:val="both"/>
      </w:pPr>
      <w:r>
        <w:rPr>
          <w:rFonts w:ascii="Times New Roman" w:cs="Times New Roman" w:eastAsia="Times New Roman" w:hAnsi="Times New Roman"/>
          <w:sz w:val="24"/>
          <w:szCs w:val="24"/>
        </w:rPr>
        <w:t xml:space="preserve">i. Simples Nacional — MEI Produtor Rural ou ME/EPP, quando admitido pela atividade;</w:t>
      </w:r>
    </w:p>
    <w:p>
      <w:pPr>
        <w:spacing w:after="80" w:line="276"/>
        <w:ind w:left="720"/>
        <w:jc w:val="both"/>
      </w:pPr>
      <w:r>
        <w:rPr>
          <w:rFonts w:ascii="Times New Roman" w:cs="Times New Roman" w:eastAsia="Times New Roman" w:hAnsi="Times New Roman"/>
          <w:sz w:val="24"/>
          <w:szCs w:val="24"/>
        </w:rPr>
        <w:t xml:space="preserve">ii. Lucro Presumido — presunção de 8% sobre receita bruta para atividade rural;</w:t>
      </w:r>
    </w:p>
    <w:p>
      <w:pPr>
        <w:spacing w:after="80" w:line="276"/>
        <w:ind w:left="720"/>
        <w:jc w:val="both"/>
      </w:pPr>
      <w:r>
        <w:rPr>
          <w:rFonts w:ascii="Times New Roman" w:cs="Times New Roman" w:eastAsia="Times New Roman" w:hAnsi="Times New Roman"/>
          <w:sz w:val="24"/>
          <w:szCs w:val="24"/>
        </w:rPr>
        <w:t xml:space="preserve">iii. Lucro Real — apuração pelo resultado contábil efetivo, obrigatório acima de R$ 78 milhões/ano.</w:t>
      </w:r>
    </w:p>
    <w:p>
      <w:pPr>
        <w:spacing w:after="120" w:line="276"/>
        <w:jc w:val="both"/>
      </w:pPr>
      <w:r>
        <w:rPr>
          <w:rFonts w:ascii="Times New Roman" w:cs="Times New Roman" w:eastAsia="Times New Roman" w:hAnsi="Times New Roman"/>
          <w:b w:val="false"/>
          <w:bCs w:val="false"/>
          <w:i w:val="false"/>
          <w:iCs w:val="false"/>
          <w:sz w:val="24"/>
          <w:szCs w:val="24"/>
        </w:rPr>
        <w:t xml:space="preserve">§3º. Independentemente do regime adotado, cada condômino é responsável pelo recolhimento do ITR — Imposto Territorial Rural, calculado sobre a sua fração ideal do imóvel, conforme declaração ao INCRA.</w:t>
      </w:r>
    </w:p>
    <w:p>
      <w:pPr>
        <w:spacing w:after="120" w:line="276"/>
        <w:jc w:val="both"/>
      </w:pPr>
      <w:r>
        <w:rPr>
          <w:rFonts w:ascii="Times New Roman" w:cs="Times New Roman" w:eastAsia="Times New Roman" w:hAnsi="Times New Roman"/>
          <w:b w:val="false"/>
          <w:bCs w:val="false"/>
          <w:i w:val="false"/>
          <w:iCs w:val="false"/>
          <w:sz w:val="24"/>
          <w:szCs w:val="24"/>
        </w:rPr>
        <w:t xml:space="preserve">§4º. O Administrador fornecerá a cada condômino, até o dia 28 de fevereiro de cada ano, relatório individual com:</w:t>
      </w:r>
    </w:p>
    <w:p>
      <w:pPr>
        <w:spacing w:after="80" w:line="276"/>
        <w:ind w:left="720"/>
        <w:jc w:val="both"/>
      </w:pPr>
      <w:r>
        <w:rPr>
          <w:rFonts w:ascii="Times New Roman" w:cs="Times New Roman" w:eastAsia="Times New Roman" w:hAnsi="Times New Roman"/>
          <w:sz w:val="24"/>
          <w:szCs w:val="24"/>
        </w:rPr>
        <w:t xml:space="preserve">i. Receitas atribuídas — proporcionais à cota-parte;</w:t>
      </w:r>
    </w:p>
    <w:p>
      <w:pPr>
        <w:spacing w:after="80" w:line="276"/>
        <w:ind w:left="720"/>
        <w:jc w:val="both"/>
      </w:pPr>
      <w:r>
        <w:rPr>
          <w:rFonts w:ascii="Times New Roman" w:cs="Times New Roman" w:eastAsia="Times New Roman" w:hAnsi="Times New Roman"/>
          <w:sz w:val="24"/>
          <w:szCs w:val="24"/>
        </w:rPr>
        <w:t xml:space="preserve">ii. Despesas comuns rateadas — proporcionais à cota-parte;</w:t>
      </w:r>
    </w:p>
    <w:p>
      <w:pPr>
        <w:spacing w:after="80" w:line="276"/>
        <w:ind w:left="720"/>
        <w:jc w:val="both"/>
      </w:pPr>
      <w:r>
        <w:rPr>
          <w:rFonts w:ascii="Times New Roman" w:cs="Times New Roman" w:eastAsia="Times New Roman" w:hAnsi="Times New Roman"/>
          <w:sz w:val="24"/>
          <w:szCs w:val="24"/>
        </w:rPr>
        <w:t xml:space="preserve">iii. Resultado líquido individual — para fins de apuração do Imposto de Renda, CSLL e contribuições previdenciárias;</w:t>
      </w:r>
    </w:p>
    <w:p>
      <w:pPr>
        <w:spacing w:after="80" w:line="276"/>
        <w:ind w:left="720"/>
        <w:jc w:val="both"/>
      </w:pPr>
      <w:r>
        <w:rPr>
          <w:rFonts w:ascii="Times New Roman" w:cs="Times New Roman" w:eastAsia="Times New Roman" w:hAnsi="Times New Roman"/>
          <w:sz w:val="24"/>
          <w:szCs w:val="24"/>
        </w:rPr>
        <w:t xml:space="preserve">iv. Valor do ITR proporcional à fração ideal, para fins de declaração individual.</w:t>
      </w:r>
    </w:p>
    <w:p>
      <w:pPr>
        <w:spacing w:after="80" w:before="160"/>
      </w:pPr>
      <w:r>
        <w:rPr>
          <w:rFonts w:ascii="Times New Roman" w:cs="Times New Roman" w:eastAsia="Times New Roman" w:hAnsi="Times New Roman"/>
          <w:b/>
          <w:bCs/>
          <w:sz w:val="24"/>
          <w:szCs w:val="24"/>
        </w:rPr>
        <w:t xml:space="preserve">CLÁUSULA DÉCIMA SÉTIMA — DOS COMPROMISSOS AMBIENTAIS</w:t>
      </w:r>
    </w:p>
    <w:p>
      <w:pPr>
        <w:spacing w:after="120" w:line="276"/>
        <w:jc w:val="both"/>
      </w:pPr>
      <w:r>
        <w:rPr>
          <w:rFonts w:ascii="Times New Roman" w:cs="Times New Roman" w:eastAsia="Times New Roman" w:hAnsi="Times New Roman"/>
          <w:b w:val="false"/>
          <w:bCs w:val="false"/>
          <w:i w:val="false"/>
          <w:iCs w:val="false"/>
          <w:sz w:val="24"/>
          <w:szCs w:val="24"/>
        </w:rPr>
        <w:t xml:space="preserve">Os condôminos comprometem-se a:</w:t>
      </w:r>
    </w:p>
    <w:p>
      <w:pPr>
        <w:spacing w:after="80" w:line="276"/>
        <w:ind w:left="720"/>
        <w:jc w:val="both"/>
      </w:pPr>
      <w:r>
        <w:rPr>
          <w:rFonts w:ascii="Times New Roman" w:cs="Times New Roman" w:eastAsia="Times New Roman" w:hAnsi="Times New Roman"/>
          <w:sz w:val="24"/>
          <w:szCs w:val="24"/>
        </w:rPr>
        <w:t xml:space="preserve">i. Manter o Cadastro Ambiental Rural (CAR) atualizado junto ao SICAR, com revisão anual obrigatória até 31 de março de cada exercício;</w:t>
      </w:r>
    </w:p>
    <w:p>
      <w:pPr>
        <w:spacing w:after="80" w:line="276"/>
        <w:ind w:left="720"/>
        <w:jc w:val="both"/>
      </w:pPr>
      <w:r>
        <w:rPr>
          <w:rFonts w:ascii="Times New Roman" w:cs="Times New Roman" w:eastAsia="Times New Roman" w:hAnsi="Times New Roman"/>
          <w:sz w:val="24"/>
          <w:szCs w:val="24"/>
        </w:rPr>
        <w:t xml:space="preserve">ii. Respeitar e recuperar a Reserva Legal (RL) mínima de {{percentual_rl}}% da área do imóvel, localizada preferencialmente na Zona Fixa da área comum;</w:t>
      </w:r>
    </w:p>
    <w:p>
      <w:pPr>
        <w:spacing w:after="80" w:line="276"/>
        <w:ind w:left="720"/>
        <w:jc w:val="both"/>
      </w:pPr>
      <w:r>
        <w:rPr>
          <w:rFonts w:ascii="Times New Roman" w:cs="Times New Roman" w:eastAsia="Times New Roman" w:hAnsi="Times New Roman"/>
          <w:sz w:val="24"/>
          <w:szCs w:val="24"/>
        </w:rPr>
        <w:t xml:space="preserve">iii. Preservar as Áreas de Preservação Permanente (APPs) conforme o Código Florestal (Lei 12.651/2012);</w:t>
      </w:r>
    </w:p>
    <w:p>
      <w:pPr>
        <w:spacing w:after="80" w:line="276"/>
        <w:ind w:left="720"/>
        <w:jc w:val="both"/>
      </w:pPr>
      <w:r>
        <w:rPr>
          <w:rFonts w:ascii="Times New Roman" w:cs="Times New Roman" w:eastAsia="Times New Roman" w:hAnsi="Times New Roman"/>
          <w:sz w:val="24"/>
          <w:szCs w:val="24"/>
        </w:rPr>
        <w:t xml:space="preserve">iv. Não realizar queimadas sem autorização do órgão ambiental competente;</w:t>
      </w:r>
    </w:p>
    <w:p>
      <w:pPr>
        <w:spacing w:after="80" w:line="276"/>
        <w:ind w:left="720"/>
        <w:jc w:val="both"/>
      </w:pPr>
      <w:r>
        <w:rPr>
          <w:rFonts w:ascii="Times New Roman" w:cs="Times New Roman" w:eastAsia="Times New Roman" w:hAnsi="Times New Roman"/>
          <w:sz w:val="24"/>
          <w:szCs w:val="24"/>
        </w:rPr>
        <w:t xml:space="preserve">v. Adotar práticas de manejo sustentável do solo e dos recursos hídricos, especialmente no entorno do açude e nascentes da área comum.</w:t>
      </w:r>
    </w:p>
    <w:p>
      <w:pPr>
        <w:spacing w:after="100" w:before="200"/>
        <w:jc w:val="center"/>
      </w:pPr>
      <w:r>
        <w:rPr>
          <w:rFonts w:ascii="Times New Roman" w:cs="Times New Roman" w:eastAsia="Times New Roman" w:hAnsi="Times New Roman"/>
          <w:b/>
          <w:bCs/>
          <w:caps/>
          <w:sz w:val="24"/>
          <w:szCs w:val="24"/>
        </w:rPr>
        <w:t xml:space="preserve">PARTE IX — SEGURO, INADIMPLÊNCIA, FORÇA MAIOR E OUTRAS DISPOSIÇÕES</w:t>
      </w:r>
    </w:p>
    <w:p>
      <w:pPr>
        <w:spacing w:after="80" w:before="160"/>
      </w:pPr>
      <w:r>
        <w:rPr>
          <w:rFonts w:ascii="Times New Roman" w:cs="Times New Roman" w:eastAsia="Times New Roman" w:hAnsi="Times New Roman"/>
          <w:b/>
          <w:bCs/>
          <w:sz w:val="24"/>
          <w:szCs w:val="24"/>
        </w:rPr>
        <w:t xml:space="preserve">CLÁUSULA DÉCIMA OITAVA — DO SEGURO RURAL</w:t>
      </w:r>
    </w:p>
    <w:p>
      <w:pPr>
        <w:spacing w:after="120" w:line="276"/>
        <w:jc w:val="both"/>
      </w:pPr>
      <w:r>
        <w:rPr>
          <w:rFonts w:ascii="Times New Roman" w:cs="Times New Roman" w:eastAsia="Times New Roman" w:hAnsi="Times New Roman"/>
          <w:b w:val="false"/>
          <w:bCs w:val="false"/>
          <w:i w:val="false"/>
          <w:iCs w:val="false"/>
          <w:sz w:val="24"/>
          <w:szCs w:val="24"/>
        </w:rPr>
        <w:t xml:space="preserve">Os condôminos comprometem-se a contratar, anualmente, seguro rural que cubra as atividades desenvolvidas no imóvel, preferencialmente por meio dos seguintes instrumentos:</w:t>
      </w:r>
    </w:p>
    <w:p>
      <w:pPr>
        <w:spacing w:after="80" w:line="276"/>
        <w:ind w:left="720"/>
        <w:jc w:val="both"/>
      </w:pPr>
      <w:r>
        <w:rPr>
          <w:rFonts w:ascii="Times New Roman" w:cs="Times New Roman" w:eastAsia="Times New Roman" w:hAnsi="Times New Roman"/>
          <w:sz w:val="24"/>
          <w:szCs w:val="24"/>
        </w:rPr>
        <w:t xml:space="preserve">i. PROAGRO — Programa de Garantia da Atividade Agropecuária (Lei 5.969/1973), para cobertura de perdas decorrentes de fenômenos climáticos adversos;</w:t>
      </w:r>
    </w:p>
    <w:p>
      <w:pPr>
        <w:spacing w:after="80" w:line="276"/>
        <w:ind w:left="720"/>
        <w:jc w:val="both"/>
      </w:pPr>
      <w:r>
        <w:rPr>
          <w:rFonts w:ascii="Times New Roman" w:cs="Times New Roman" w:eastAsia="Times New Roman" w:hAnsi="Times New Roman"/>
          <w:sz w:val="24"/>
          <w:szCs w:val="24"/>
        </w:rPr>
        <w:t xml:space="preserve">ii. SEAF — Seguro da Agricultura Familiar, quando aplicável;</w:t>
      </w:r>
    </w:p>
    <w:p>
      <w:pPr>
        <w:spacing w:after="80" w:line="276"/>
        <w:ind w:left="720"/>
        <w:jc w:val="both"/>
      </w:pPr>
      <w:r>
        <w:rPr>
          <w:rFonts w:ascii="Times New Roman" w:cs="Times New Roman" w:eastAsia="Times New Roman" w:hAnsi="Times New Roman"/>
          <w:sz w:val="24"/>
          <w:szCs w:val="24"/>
        </w:rPr>
        <w:t xml:space="preserve">iii. Apólice de seguro rural privado, cobrindo no mínimo: incêndio, granizo, seca e morte de animais.</w:t>
      </w:r>
    </w:p>
    <w:p>
      <w:pPr>
        <w:spacing w:after="120" w:line="276"/>
        <w:jc w:val="both"/>
      </w:pPr>
      <w:r>
        <w:rPr>
          <w:rFonts w:ascii="Times New Roman" w:cs="Times New Roman" w:eastAsia="Times New Roman" w:hAnsi="Times New Roman"/>
          <w:b w:val="false"/>
          <w:bCs w:val="false"/>
          <w:i w:val="false"/>
          <w:iCs w:val="false"/>
          <w:sz w:val="24"/>
          <w:szCs w:val="24"/>
        </w:rPr>
        <w:t xml:space="preserve">§1º. O seguro da área comum será contratado pelo Administrador em nome do condomínio, com rateio do prêmio proporcional às cotas-parte.</w:t>
      </w:r>
    </w:p>
    <w:p>
      <w:pPr>
        <w:spacing w:after="120" w:line="276"/>
        <w:jc w:val="both"/>
      </w:pPr>
      <w:r>
        <w:rPr>
          <w:rFonts w:ascii="Times New Roman" w:cs="Times New Roman" w:eastAsia="Times New Roman" w:hAnsi="Times New Roman"/>
          <w:b w:val="false"/>
          <w:bCs w:val="false"/>
          <w:i w:val="false"/>
          <w:iCs w:val="false"/>
          <w:sz w:val="24"/>
          <w:szCs w:val="24"/>
        </w:rPr>
        <w:t xml:space="preserve">§2º. O seguro das áreas individualizadas é de responsabilidade de cada condômino.</w:t>
      </w:r>
    </w:p>
    <w:p>
      <w:pPr>
        <w:spacing w:after="120" w:line="276"/>
        <w:jc w:val="both"/>
      </w:pPr>
      <w:r>
        <w:rPr>
          <w:rFonts w:ascii="Times New Roman" w:cs="Times New Roman" w:eastAsia="Times New Roman" w:hAnsi="Times New Roman"/>
          <w:b w:val="false"/>
          <w:bCs w:val="false"/>
          <w:i w:val="false"/>
          <w:iCs w:val="false"/>
          <w:sz w:val="24"/>
          <w:szCs w:val="24"/>
        </w:rPr>
        <w:t xml:space="preserve">§3º. A ausência de seguro não desobriga o condômino de suas responsabilidades perante os demais em caso de sinistro.</w:t>
      </w:r>
    </w:p>
    <w:p>
      <w:pPr>
        <w:spacing w:after="80" w:before="160"/>
      </w:pPr>
      <w:r>
        <w:rPr>
          <w:rFonts w:ascii="Times New Roman" w:cs="Times New Roman" w:eastAsia="Times New Roman" w:hAnsi="Times New Roman"/>
          <w:b/>
          <w:bCs/>
          <w:sz w:val="24"/>
          <w:szCs w:val="24"/>
        </w:rPr>
        <w:t xml:space="preserve">CLÁUSULA DÉCIMA NONA — DA INADIMPLÊNCIA E RATEIO DE DESPESAS</w:t>
      </w:r>
    </w:p>
    <w:p>
      <w:pPr>
        <w:spacing w:after="120" w:line="276"/>
        <w:jc w:val="both"/>
      </w:pPr>
      <w:r>
        <w:rPr>
          <w:rFonts w:ascii="Times New Roman" w:cs="Times New Roman" w:eastAsia="Times New Roman" w:hAnsi="Times New Roman"/>
          <w:b w:val="false"/>
          <w:bCs w:val="false"/>
          <w:i w:val="false"/>
          <w:iCs w:val="false"/>
          <w:sz w:val="24"/>
          <w:szCs w:val="24"/>
        </w:rPr>
        <w:t xml:space="preserve">As despesas comuns do condomínio — manutenção da área comum, seguros, IPTU/ITR proporcional, assistência técnica, encargos trabalhistas — serão rateadas proporcionalmente às cotas-parte e cobradas mensalmente pelo Administrador.</w:t>
      </w:r>
    </w:p>
    <w:p>
      <w:pPr>
        <w:spacing w:after="120" w:line="276"/>
        <w:jc w:val="both"/>
      </w:pPr>
      <w:r>
        <w:rPr>
          <w:rFonts w:ascii="Times New Roman" w:cs="Times New Roman" w:eastAsia="Times New Roman" w:hAnsi="Times New Roman"/>
          <w:b w:val="false"/>
          <w:bCs w:val="false"/>
          <w:i w:val="false"/>
          <w:iCs w:val="false"/>
          <w:sz w:val="24"/>
          <w:szCs w:val="24"/>
        </w:rPr>
        <w:t xml:space="preserve">§1º. O condômino que deixar de pagar sua quota de despesas comuns no prazo de 30 (trinta) dias ficará sujeito a:</w:t>
      </w:r>
    </w:p>
    <w:p>
      <w:pPr>
        <w:spacing w:after="80" w:line="276"/>
        <w:ind w:left="720"/>
        <w:jc w:val="both"/>
      </w:pPr>
      <w:r>
        <w:rPr>
          <w:rFonts w:ascii="Times New Roman" w:cs="Times New Roman" w:eastAsia="Times New Roman" w:hAnsi="Times New Roman"/>
          <w:sz w:val="24"/>
          <w:szCs w:val="24"/>
        </w:rPr>
        <w:t xml:space="preserve">i. Multa de 2% (dois por cento) sobre o valor devido;</w:t>
      </w:r>
    </w:p>
    <w:p>
      <w:pPr>
        <w:spacing w:after="80" w:line="276"/>
        <w:ind w:left="720"/>
        <w:jc w:val="both"/>
      </w:pPr>
      <w:r>
        <w:rPr>
          <w:rFonts w:ascii="Times New Roman" w:cs="Times New Roman" w:eastAsia="Times New Roman" w:hAnsi="Times New Roman"/>
          <w:sz w:val="24"/>
          <w:szCs w:val="24"/>
        </w:rPr>
        <w:t xml:space="preserve">ii. Juros de mora de 0,5% (meio por cento) ao mês;</w:t>
      </w:r>
    </w:p>
    <w:p>
      <w:pPr>
        <w:spacing w:after="80" w:line="276"/>
        <w:ind w:left="720"/>
        <w:jc w:val="both"/>
      </w:pPr>
      <w:r>
        <w:rPr>
          <w:rFonts w:ascii="Times New Roman" w:cs="Times New Roman" w:eastAsia="Times New Roman" w:hAnsi="Times New Roman"/>
          <w:sz w:val="24"/>
          <w:szCs w:val="24"/>
        </w:rPr>
        <w:t xml:space="preserve">iii. Correção monetária pelo IPCA;</w:t>
      </w:r>
    </w:p>
    <w:p>
      <w:pPr>
        <w:spacing w:after="80" w:line="276"/>
        <w:ind w:left="720"/>
        <w:jc w:val="both"/>
      </w:pPr>
      <w:r>
        <w:rPr>
          <w:rFonts w:ascii="Times New Roman" w:cs="Times New Roman" w:eastAsia="Times New Roman" w:hAnsi="Times New Roman"/>
          <w:sz w:val="24"/>
          <w:szCs w:val="24"/>
        </w:rPr>
        <w:t xml:space="preserve">iv. Suspensão do direito de voto em Assembleia Geral até regularização.</w:t>
      </w:r>
    </w:p>
    <w:p>
      <w:pPr>
        <w:spacing w:after="120" w:line="276"/>
        <w:jc w:val="both"/>
      </w:pPr>
      <w:r>
        <w:rPr>
          <w:rFonts w:ascii="Times New Roman" w:cs="Times New Roman" w:eastAsia="Times New Roman" w:hAnsi="Times New Roman"/>
          <w:b w:val="false"/>
          <w:bCs w:val="false"/>
          <w:i w:val="false"/>
          <w:iCs w:val="false"/>
          <w:sz w:val="24"/>
          <w:szCs w:val="24"/>
        </w:rPr>
        <w:t xml:space="preserve">§2º. A inadimplência superior a 90 (noventa) dias autoriza o Administrador a executar o débito judicialmente, inclusive com penhora da cota-parte do condômino inadimplente.</w:t>
      </w:r>
    </w:p>
    <w:p>
      <w:pPr>
        <w:spacing w:after="120" w:line="276"/>
        <w:jc w:val="both"/>
      </w:pPr>
      <w:r>
        <w:rPr>
          <w:rFonts w:ascii="Times New Roman" w:cs="Times New Roman" w:eastAsia="Times New Roman" w:hAnsi="Times New Roman"/>
          <w:b w:val="false"/>
          <w:bCs w:val="false"/>
          <w:i w:val="false"/>
          <w:iCs w:val="false"/>
          <w:sz w:val="24"/>
          <w:szCs w:val="24"/>
        </w:rPr>
        <w:t xml:space="preserve">§3º. Os demais condôminos poderão, a seu critério, assumir o pagamento das despesas do inadimplente e cobrar regressivamente com acréscimo de 20% (vinte por cento) a título de honorários.</w:t>
      </w:r>
    </w:p>
    <w:p>
      <w:pPr>
        <w:spacing w:after="80" w:before="160"/>
      </w:pPr>
      <w:r>
        <w:rPr>
          <w:rFonts w:ascii="Times New Roman" w:cs="Times New Roman" w:eastAsia="Times New Roman" w:hAnsi="Times New Roman"/>
          <w:b/>
          <w:bCs/>
          <w:sz w:val="24"/>
          <w:szCs w:val="24"/>
        </w:rPr>
        <w:t xml:space="preserve">CLÁUSULA VIGÉSIMA — DA FORÇA MAIOR E CASO FORTUITO</w:t>
      </w:r>
    </w:p>
    <w:p>
      <w:pPr>
        <w:spacing w:after="120" w:line="276"/>
        <w:jc w:val="both"/>
      </w:pPr>
      <w:r>
        <w:rPr>
          <w:rFonts w:ascii="Times New Roman" w:cs="Times New Roman" w:eastAsia="Times New Roman" w:hAnsi="Times New Roman"/>
          <w:b w:val="false"/>
          <w:bCs w:val="false"/>
          <w:i w:val="false"/>
          <w:iCs w:val="false"/>
          <w:sz w:val="24"/>
          <w:szCs w:val="24"/>
        </w:rPr>
        <w:t xml:space="preserve">Nenhum condômino será responsabilizado pelo descumprimento de obrigações decorrentes de eventos de força maior ou caso fortuito, assim definidos nos termos do art. 393 do Código Civil, incluindo:</w:t>
      </w:r>
    </w:p>
    <w:p>
      <w:pPr>
        <w:spacing w:after="80" w:line="276"/>
        <w:ind w:left="720"/>
        <w:jc w:val="both"/>
      </w:pPr>
      <w:r>
        <w:rPr>
          <w:rFonts w:ascii="Times New Roman" w:cs="Times New Roman" w:eastAsia="Times New Roman" w:hAnsi="Times New Roman"/>
          <w:sz w:val="24"/>
          <w:szCs w:val="24"/>
        </w:rPr>
        <w:t xml:space="preserve">i. Fenômenos climáticos extremos — seca, granizo, geada, inundação — devidamente comprovados por laudo técnico ou declaração do órgão meteorológico competente;</w:t>
      </w:r>
    </w:p>
    <w:p>
      <w:pPr>
        <w:spacing w:after="80" w:line="276"/>
        <w:ind w:left="720"/>
        <w:jc w:val="both"/>
      </w:pPr>
      <w:r>
        <w:rPr>
          <w:rFonts w:ascii="Times New Roman" w:cs="Times New Roman" w:eastAsia="Times New Roman" w:hAnsi="Times New Roman"/>
          <w:sz w:val="24"/>
          <w:szCs w:val="24"/>
        </w:rPr>
        <w:t xml:space="preserve">ii. Pragas e doenças agrícolas de caráter epidêmico, reconhecidas por portaria do MAPA;</w:t>
      </w:r>
    </w:p>
    <w:p>
      <w:pPr>
        <w:spacing w:after="80" w:line="276"/>
        <w:ind w:left="720"/>
        <w:jc w:val="both"/>
      </w:pPr>
      <w:r>
        <w:rPr>
          <w:rFonts w:ascii="Times New Roman" w:cs="Times New Roman" w:eastAsia="Times New Roman" w:hAnsi="Times New Roman"/>
          <w:sz w:val="24"/>
          <w:szCs w:val="24"/>
        </w:rPr>
        <w:t xml:space="preserve">iii. Atos de autoridade pública que impeçam temporariamente o uso do imóvel.</w:t>
      </w:r>
    </w:p>
    <w:p>
      <w:pPr>
        <w:spacing w:after="120" w:line="276"/>
        <w:jc w:val="both"/>
      </w:pPr>
      <w:r>
        <w:rPr>
          <w:rFonts w:ascii="Times New Roman" w:cs="Times New Roman" w:eastAsia="Times New Roman" w:hAnsi="Times New Roman"/>
          <w:b w:val="false"/>
          <w:bCs w:val="false"/>
          <w:i w:val="false"/>
          <w:iCs w:val="false"/>
          <w:sz w:val="24"/>
          <w:szCs w:val="24"/>
        </w:rPr>
        <w:t xml:space="preserve">§1º. O condômino afetado deverá comunicar o evento ao Administrador no prazo de 5 (cinco) dias úteis, com documentação comprobatória.</w:t>
      </w:r>
    </w:p>
    <w:p>
      <w:pPr>
        <w:spacing w:after="120" w:line="276"/>
        <w:jc w:val="both"/>
      </w:pPr>
      <w:r>
        <w:rPr>
          <w:rFonts w:ascii="Times New Roman" w:cs="Times New Roman" w:eastAsia="Times New Roman" w:hAnsi="Times New Roman"/>
          <w:b w:val="false"/>
          <w:bCs w:val="false"/>
          <w:i w:val="false"/>
          <w:iCs w:val="false"/>
          <w:sz w:val="24"/>
          <w:szCs w:val="24"/>
        </w:rPr>
        <w:t xml:space="preserve">§2º. A Assembleia Geral deliberará, por maioria simples, sobre eventual redistribuição das obrigações entre os condôminos durante o período de força maior.</w:t>
      </w:r>
    </w:p>
    <w:p>
      <w:pPr>
        <w:spacing w:after="120" w:line="276"/>
        <w:jc w:val="both"/>
      </w:pPr>
      <w:r>
        <w:rPr>
          <w:rFonts w:ascii="Times New Roman" w:cs="Times New Roman" w:eastAsia="Times New Roman" w:hAnsi="Times New Roman"/>
          <w:b w:val="false"/>
          <w:bCs w:val="false"/>
          <w:i w:val="false"/>
          <w:iCs w:val="false"/>
          <w:sz w:val="24"/>
          <w:szCs w:val="24"/>
        </w:rPr>
        <w:t xml:space="preserve">§3º. A suspensão de obrigações por força maior não poderá exceder 12 (doze) meses consecutivos, findo os quais o condômino afetado deverá regularizar sua situação ou iniciar o procedimento de retirada previsto na Cláusula Décima Quinta.</w:t>
      </w:r>
    </w:p>
    <w:p>
      <w:pPr>
        <w:spacing w:after="80" w:before="160"/>
      </w:pPr>
      <w:r>
        <w:rPr>
          <w:rFonts w:ascii="Times New Roman" w:cs="Times New Roman" w:eastAsia="Times New Roman" w:hAnsi="Times New Roman"/>
          <w:b/>
          <w:bCs/>
          <w:sz w:val="24"/>
          <w:szCs w:val="24"/>
        </w:rPr>
        <w:t xml:space="preserve">CLÁUSULA VIGÉSIMA PRIMEIRA — DAS PENALIDADES E SANÇÕES</w:t>
      </w:r>
    </w:p>
    <w:p>
      <w:pPr>
        <w:spacing w:after="120" w:line="276"/>
        <w:jc w:val="both"/>
      </w:pPr>
      <w:r>
        <w:rPr>
          <w:rFonts w:ascii="Times New Roman" w:cs="Times New Roman" w:eastAsia="Times New Roman" w:hAnsi="Times New Roman"/>
          <w:b w:val="false"/>
          <w:bCs w:val="false"/>
          <w:i w:val="false"/>
          <w:iCs w:val="false"/>
          <w:sz w:val="24"/>
          <w:szCs w:val="24"/>
        </w:rPr>
        <w:t xml:space="preserve">O descumprimento das obrigações previstas neste contrato sujeitará o condômino infrator às seguintes sanções, aplicadas pelo Administrador após notificação e prazo de 15 (quinze) dias para regularização:</w:t>
      </w:r>
    </w:p>
    <w:p>
      <w:pPr>
        <w:spacing w:after="80" w:line="276"/>
        <w:ind w:left="720"/>
        <w:jc w:val="both"/>
      </w:pPr>
      <w:r>
        <w:rPr>
          <w:rFonts w:ascii="Times New Roman" w:cs="Times New Roman" w:eastAsia="Times New Roman" w:hAnsi="Times New Roman"/>
          <w:sz w:val="24"/>
          <w:szCs w:val="24"/>
        </w:rPr>
        <w:t xml:space="preserve">i. Advertência escrita — para infrações leves (atraso de comunicações, descumprimento de prazo não essencial);</w:t>
      </w:r>
    </w:p>
    <w:p>
      <w:pPr>
        <w:spacing w:after="80" w:line="276"/>
        <w:ind w:left="720"/>
        <w:jc w:val="both"/>
      </w:pPr>
      <w:r>
        <w:rPr>
          <w:rFonts w:ascii="Times New Roman" w:cs="Times New Roman" w:eastAsia="Times New Roman" w:hAnsi="Times New Roman"/>
          <w:sz w:val="24"/>
          <w:szCs w:val="24"/>
        </w:rPr>
        <w:t xml:space="preserve">ii. Multa de R$ {{valor_multa_leve}} — para infrações médias (uso indevido da área comum, descumprimento do Plano de Safra);</w:t>
      </w:r>
    </w:p>
    <w:p>
      <w:pPr>
        <w:spacing w:after="80" w:line="276"/>
        <w:ind w:left="720"/>
        <w:jc w:val="both"/>
      </w:pPr>
      <w:r>
        <w:rPr>
          <w:rFonts w:ascii="Times New Roman" w:cs="Times New Roman" w:eastAsia="Times New Roman" w:hAnsi="Times New Roman"/>
          <w:sz w:val="24"/>
          <w:szCs w:val="24"/>
        </w:rPr>
        <w:t xml:space="preserve">iii. Multa de R$ {{valor_multa_grave}} — para infrações graves (dano ambiental, subparceria não autorizada, uso de área das Zonas Fixas para atividade produtiva);</w:t>
      </w:r>
    </w:p>
    <w:p>
      <w:pPr>
        <w:spacing w:after="80" w:line="276"/>
        <w:ind w:left="720"/>
        <w:jc w:val="both"/>
      </w:pPr>
      <w:r>
        <w:rPr>
          <w:rFonts w:ascii="Times New Roman" w:cs="Times New Roman" w:eastAsia="Times New Roman" w:hAnsi="Times New Roman"/>
          <w:sz w:val="24"/>
          <w:szCs w:val="24"/>
        </w:rPr>
        <w:t xml:space="preserve">iv. Suspensão do direito de voto por até 2 safras — para reincidência em infrações médias;</w:t>
      </w:r>
    </w:p>
    <w:p>
      <w:pPr>
        <w:spacing w:after="80" w:line="276"/>
        <w:ind w:left="720"/>
        <w:jc w:val="both"/>
      </w:pPr>
      <w:r>
        <w:rPr>
          <w:rFonts w:ascii="Times New Roman" w:cs="Times New Roman" w:eastAsia="Times New Roman" w:hAnsi="Times New Roman"/>
          <w:sz w:val="24"/>
          <w:szCs w:val="24"/>
        </w:rPr>
        <w:t xml:space="preserve">v. Ação de exclusão judicial do condomínio (art. 1.337 CC) — para infrações gravíssimas ou reincidência em infrações graves.</w:t>
      </w:r>
    </w:p>
    <w:p>
      <w:pPr>
        <w:spacing w:after="120" w:line="276"/>
        <w:jc w:val="both"/>
      </w:pPr>
      <w:r>
        <w:rPr>
          <w:rFonts w:ascii="Times New Roman" w:cs="Times New Roman" w:eastAsia="Times New Roman" w:hAnsi="Times New Roman"/>
          <w:b w:val="false"/>
          <w:bCs w:val="false"/>
          <w:i w:val="false"/>
          <w:iCs w:val="false"/>
          <w:sz w:val="24"/>
          <w:szCs w:val="24"/>
        </w:rPr>
        <w:t xml:space="preserve">Parágrafo único. As multas arrecadadas integrarão o fundo de reserva do condomínio.</w:t>
      </w:r>
    </w:p>
    <w:p>
      <w:pPr>
        <w:spacing w:after="80" w:before="160"/>
      </w:pPr>
      <w:r>
        <w:rPr>
          <w:rFonts w:ascii="Times New Roman" w:cs="Times New Roman" w:eastAsia="Times New Roman" w:hAnsi="Times New Roman"/>
          <w:b/>
          <w:bCs/>
          <w:sz w:val="24"/>
          <w:szCs w:val="24"/>
        </w:rPr>
        <w:t xml:space="preserve">CLÁUSULA VIGÉSIMA SEGUNDA — DO SIGILO E CONFIDENCIALIDADE</w:t>
      </w:r>
    </w:p>
    <w:p>
      <w:pPr>
        <w:spacing w:after="120" w:line="276"/>
        <w:jc w:val="both"/>
      </w:pPr>
      <w:r>
        <w:rPr>
          <w:rFonts w:ascii="Times New Roman" w:cs="Times New Roman" w:eastAsia="Times New Roman" w:hAnsi="Times New Roman"/>
          <w:b w:val="false"/>
          <w:bCs w:val="false"/>
          <w:i w:val="false"/>
          <w:iCs w:val="false"/>
          <w:sz w:val="24"/>
          <w:szCs w:val="24"/>
        </w:rPr>
        <w:t xml:space="preserve">Os condôminos comprometem-se a manter sigilo sobre informações financeiras, produtivas, estratégicas e pessoais dos demais condôminos e do condomínio, não podendo divulgá-las a terceiros sem autorização expressa da Assembleia Geral.</w:t>
      </w:r>
    </w:p>
    <w:p>
      <w:pPr>
        <w:spacing w:after="120" w:line="276"/>
        <w:jc w:val="both"/>
      </w:pPr>
      <w:r>
        <w:rPr>
          <w:rFonts w:ascii="Times New Roman" w:cs="Times New Roman" w:eastAsia="Times New Roman" w:hAnsi="Times New Roman"/>
          <w:b w:val="false"/>
          <w:bCs w:val="false"/>
          <w:i w:val="false"/>
          <w:iCs w:val="false"/>
          <w:sz w:val="24"/>
          <w:szCs w:val="24"/>
        </w:rPr>
        <w:t xml:space="preserve">§1º. São consideradas informações confidenciais:</w:t>
      </w:r>
    </w:p>
    <w:p>
      <w:pPr>
        <w:spacing w:after="80" w:line="276"/>
        <w:ind w:left="720"/>
        <w:jc w:val="both"/>
      </w:pPr>
      <w:r>
        <w:rPr>
          <w:rFonts w:ascii="Times New Roman" w:cs="Times New Roman" w:eastAsia="Times New Roman" w:hAnsi="Times New Roman"/>
          <w:sz w:val="24"/>
          <w:szCs w:val="24"/>
        </w:rPr>
        <w:t xml:space="preserve">i. Dados de produção, produtividade e resultado econômico de cada condômino;</w:t>
      </w:r>
    </w:p>
    <w:p>
      <w:pPr>
        <w:spacing w:after="80" w:line="276"/>
        <w:ind w:left="720"/>
        <w:jc w:val="both"/>
      </w:pPr>
      <w:r>
        <w:rPr>
          <w:rFonts w:ascii="Times New Roman" w:cs="Times New Roman" w:eastAsia="Times New Roman" w:hAnsi="Times New Roman"/>
          <w:sz w:val="24"/>
          <w:szCs w:val="24"/>
        </w:rPr>
        <w:t xml:space="preserve">ii. Termos de contratos de parceria celebrados com terceiros;</w:t>
      </w:r>
    </w:p>
    <w:p>
      <w:pPr>
        <w:spacing w:after="80" w:line="276"/>
        <w:ind w:left="720"/>
        <w:jc w:val="both"/>
      </w:pPr>
      <w:r>
        <w:rPr>
          <w:rFonts w:ascii="Times New Roman" w:cs="Times New Roman" w:eastAsia="Times New Roman" w:hAnsi="Times New Roman"/>
          <w:sz w:val="24"/>
          <w:szCs w:val="24"/>
        </w:rPr>
        <w:t xml:space="preserve">iii. Estratégias de comercialização e preços negociados;</w:t>
      </w:r>
    </w:p>
    <w:p>
      <w:pPr>
        <w:spacing w:after="80" w:line="276"/>
        <w:ind w:left="720"/>
        <w:jc w:val="both"/>
      </w:pPr>
      <w:r>
        <w:rPr>
          <w:rFonts w:ascii="Times New Roman" w:cs="Times New Roman" w:eastAsia="Times New Roman" w:hAnsi="Times New Roman"/>
          <w:sz w:val="24"/>
          <w:szCs w:val="24"/>
        </w:rPr>
        <w:t xml:space="preserve">iv. Dados pessoais e patrimoniais dos condôminos e seus familiares.</w:t>
      </w:r>
    </w:p>
    <w:p>
      <w:pPr>
        <w:spacing w:after="120" w:line="276"/>
        <w:jc w:val="both"/>
      </w:pPr>
      <w:r>
        <w:rPr>
          <w:rFonts w:ascii="Times New Roman" w:cs="Times New Roman" w:eastAsia="Times New Roman" w:hAnsi="Times New Roman"/>
          <w:b w:val="false"/>
          <w:bCs w:val="false"/>
          <w:i w:val="false"/>
          <w:iCs w:val="false"/>
          <w:sz w:val="24"/>
          <w:szCs w:val="24"/>
        </w:rPr>
        <w:t xml:space="preserve">§2º. O dever de sigilo persiste por 2 (dois) anos após o término do contrato ou a retirada do condômino.</w:t>
      </w:r>
    </w:p>
    <w:p>
      <w:pPr>
        <w:spacing w:after="120" w:line="276"/>
        <w:jc w:val="both"/>
      </w:pPr>
      <w:r>
        <w:rPr>
          <w:rFonts w:ascii="Times New Roman" w:cs="Times New Roman" w:eastAsia="Times New Roman" w:hAnsi="Times New Roman"/>
          <w:b w:val="false"/>
          <w:bCs w:val="false"/>
          <w:i w:val="false"/>
          <w:iCs w:val="false"/>
          <w:sz w:val="24"/>
          <w:szCs w:val="24"/>
        </w:rPr>
        <w:t xml:space="preserve">§3º. A violação do sigilo sujeitará o infrator à multa prevista na Cláusula Vigésima Primeira, item iii, além de indenização por perdas e danos.</w:t>
      </w:r>
    </w:p>
    <w:p>
      <w:pPr>
        <w:spacing w:after="80" w:before="160"/>
      </w:pPr>
      <w:r>
        <w:rPr>
          <w:rFonts w:ascii="Times New Roman" w:cs="Times New Roman" w:eastAsia="Times New Roman" w:hAnsi="Times New Roman"/>
          <w:b/>
          <w:bCs/>
          <w:sz w:val="24"/>
          <w:szCs w:val="24"/>
        </w:rPr>
        <w:t xml:space="preserve">CLÁUSULA VIGÉSIMA TERCEIRA — DO DIREITO DE VISTORIA E FISCALIZAÇÃO</w:t>
      </w:r>
    </w:p>
    <w:p>
      <w:pPr>
        <w:spacing w:after="120" w:line="276"/>
        <w:jc w:val="both"/>
      </w:pPr>
      <w:r>
        <w:rPr>
          <w:rFonts w:ascii="Times New Roman" w:cs="Times New Roman" w:eastAsia="Times New Roman" w:hAnsi="Times New Roman"/>
          <w:b w:val="false"/>
          <w:bCs w:val="false"/>
          <w:i w:val="false"/>
          <w:iCs w:val="false"/>
          <w:sz w:val="24"/>
          <w:szCs w:val="24"/>
        </w:rPr>
        <w:t xml:space="preserve">Qualquer condômino poderá, mediante comunicação prévia de 48 (quarenta e oito) horas ao Administrador e ao condômino responsável pela área, visitar e fiscalizar:</w:t>
      </w:r>
    </w:p>
    <w:p>
      <w:pPr>
        <w:spacing w:after="80" w:line="276"/>
        <w:ind w:left="720"/>
        <w:jc w:val="both"/>
      </w:pPr>
      <w:r>
        <w:rPr>
          <w:rFonts w:ascii="Times New Roman" w:cs="Times New Roman" w:eastAsia="Times New Roman" w:hAnsi="Times New Roman"/>
          <w:sz w:val="24"/>
          <w:szCs w:val="24"/>
        </w:rPr>
        <w:t xml:space="preserve">i. As áreas privativas dos demais condôminos, para verificação do cumprimento do Plano de Safra e das normas ambientais;</w:t>
      </w:r>
    </w:p>
    <w:p>
      <w:pPr>
        <w:spacing w:after="80" w:line="276"/>
        <w:ind w:left="720"/>
        <w:jc w:val="both"/>
      </w:pPr>
      <w:r>
        <w:rPr>
          <w:rFonts w:ascii="Times New Roman" w:cs="Times New Roman" w:eastAsia="Times New Roman" w:hAnsi="Times New Roman"/>
          <w:sz w:val="24"/>
          <w:szCs w:val="24"/>
        </w:rPr>
        <w:t xml:space="preserve">ii. A área comum, em qualquer tempo, para verificação do estado de conservação, uso e conformidade com as Zonas estabelecidas na Cláusula Sexta.</w:t>
      </w:r>
    </w:p>
    <w:p>
      <w:pPr>
        <w:spacing w:after="120" w:line="276"/>
        <w:jc w:val="both"/>
      </w:pPr>
      <w:r>
        <w:rPr>
          <w:rFonts w:ascii="Times New Roman" w:cs="Times New Roman" w:eastAsia="Times New Roman" w:hAnsi="Times New Roman"/>
          <w:b w:val="false"/>
          <w:bCs w:val="false"/>
          <w:i w:val="false"/>
          <w:iCs w:val="false"/>
          <w:sz w:val="24"/>
          <w:szCs w:val="24"/>
        </w:rPr>
        <w:t xml:space="preserve">§1º. O condômino fiscalizado deverá permitir o acesso em horário comercial (8h às 18h), podendo acompanhar a vistoria.</w:t>
      </w:r>
    </w:p>
    <w:p>
      <w:pPr>
        <w:spacing w:after="120" w:line="276"/>
        <w:jc w:val="both"/>
      </w:pPr>
      <w:r>
        <w:rPr>
          <w:rFonts w:ascii="Times New Roman" w:cs="Times New Roman" w:eastAsia="Times New Roman" w:hAnsi="Times New Roman"/>
          <w:b w:val="false"/>
          <w:bCs w:val="false"/>
          <w:i w:val="false"/>
          <w:iCs w:val="false"/>
          <w:sz w:val="24"/>
          <w:szCs w:val="24"/>
        </w:rPr>
        <w:t xml:space="preserve">§2º. O condômino que visitar a área privativa alheia deverá lavrar relatório circunstanciado e encaminhá-lo ao Administrador em até 5 (cinco) dias úteis.</w:t>
      </w:r>
    </w:p>
    <w:p>
      <w:pPr>
        <w:spacing w:after="120" w:line="276"/>
        <w:jc w:val="both"/>
      </w:pPr>
      <w:r>
        <w:rPr>
          <w:rFonts w:ascii="Times New Roman" w:cs="Times New Roman" w:eastAsia="Times New Roman" w:hAnsi="Times New Roman"/>
          <w:b w:val="false"/>
          <w:bCs w:val="false"/>
          <w:i w:val="false"/>
          <w:iCs w:val="false"/>
          <w:sz w:val="24"/>
          <w:szCs w:val="24"/>
        </w:rPr>
        <w:t xml:space="preserve">§3º. A obstrução injustificada ao direito de vistoria configura infração grave, sujeita às penalidades da Cláusula Vigésima Primeira, item iii.</w:t>
      </w:r>
    </w:p>
    <w:p>
      <w:pPr>
        <w:spacing w:after="80" w:before="160"/>
      </w:pPr>
      <w:r>
        <w:rPr>
          <w:rFonts w:ascii="Times New Roman" w:cs="Times New Roman" w:eastAsia="Times New Roman" w:hAnsi="Times New Roman"/>
          <w:b/>
          <w:bCs/>
          <w:sz w:val="24"/>
          <w:szCs w:val="24"/>
        </w:rPr>
        <w:t xml:space="preserve">CLÁUSULA VIGÉSIMA QUARTA — DAS BENFEITORIAS E MELHORAMENTOS</w:t>
      </w:r>
    </w:p>
    <w:p>
      <w:pPr>
        <w:spacing w:after="120" w:line="276"/>
        <w:jc w:val="both"/>
      </w:pPr>
      <w:r>
        <w:rPr>
          <w:rFonts w:ascii="Times New Roman" w:cs="Times New Roman" w:eastAsia="Times New Roman" w:hAnsi="Times New Roman"/>
          <w:b w:val="false"/>
          <w:bCs w:val="false"/>
          <w:i w:val="false"/>
          <w:iCs w:val="false"/>
          <w:sz w:val="24"/>
          <w:szCs w:val="24"/>
        </w:rPr>
        <w:t xml:space="preserve">As benfeitorias realizadas no imóvel serão tratadas conforme sua localização:</w:t>
      </w:r>
    </w:p>
    <w:p>
      <w:pPr>
        <w:spacing w:after="120" w:line="276"/>
        <w:jc w:val="both"/>
      </w:pPr>
      <w:r>
        <w:rPr>
          <w:rFonts w:ascii="Times New Roman" w:cs="Times New Roman" w:eastAsia="Times New Roman" w:hAnsi="Times New Roman"/>
          <w:b w:val="false"/>
          <w:bCs w:val="false"/>
          <w:i w:val="false"/>
          <w:iCs w:val="false"/>
          <w:sz w:val="24"/>
          <w:szCs w:val="24"/>
        </w:rPr>
        <w:t xml:space="preserve">§1º. ÁREA COMUM — Benfeitorias construídas pelo condomínio (com recursos do fundo comum):</w:t>
      </w:r>
    </w:p>
    <w:p>
      <w:pPr>
        <w:spacing w:after="80" w:line="276"/>
        <w:ind w:left="720"/>
        <w:jc w:val="both"/>
      </w:pPr>
      <w:r>
        <w:rPr>
          <w:rFonts w:ascii="Times New Roman" w:cs="Times New Roman" w:eastAsia="Times New Roman" w:hAnsi="Times New Roman"/>
          <w:sz w:val="24"/>
          <w:szCs w:val="24"/>
        </w:rPr>
        <w:t xml:space="preserve">i. São de propriedade comum, rateadas na proporção das cotas-parte;</w:t>
      </w:r>
    </w:p>
    <w:p>
      <w:pPr>
        <w:spacing w:after="80" w:line="276"/>
        <w:ind w:left="720"/>
        <w:jc w:val="both"/>
      </w:pPr>
      <w:r>
        <w:rPr>
          <w:rFonts w:ascii="Times New Roman" w:cs="Times New Roman" w:eastAsia="Times New Roman" w:hAnsi="Times New Roman"/>
          <w:sz w:val="24"/>
          <w:szCs w:val="24"/>
        </w:rPr>
        <w:t xml:space="preserve">ii. Integrarão o ativo do condomínio para fins de avaliação na retirada ou dissolução.</w:t>
      </w:r>
    </w:p>
    <w:p>
      <w:pPr>
        <w:spacing w:after="120" w:line="276"/>
        <w:jc w:val="both"/>
      </w:pPr>
      <w:r>
        <w:rPr>
          <w:rFonts w:ascii="Times New Roman" w:cs="Times New Roman" w:eastAsia="Times New Roman" w:hAnsi="Times New Roman"/>
          <w:b w:val="false"/>
          <w:bCs w:val="false"/>
          <w:i w:val="false"/>
          <w:iCs w:val="false"/>
          <w:sz w:val="24"/>
          <w:szCs w:val="24"/>
        </w:rPr>
        <w:t xml:space="preserve">§2º. ÁREA PRIVATIVA — Benfeitorias construídas pelo condômino em sua fração:</w:t>
      </w:r>
    </w:p>
    <w:p>
      <w:pPr>
        <w:spacing w:after="80" w:line="276"/>
        <w:ind w:left="720"/>
        <w:jc w:val="both"/>
      </w:pPr>
      <w:r>
        <w:rPr>
          <w:rFonts w:ascii="Times New Roman" w:cs="Times New Roman" w:eastAsia="Times New Roman" w:hAnsi="Times New Roman"/>
          <w:sz w:val="24"/>
          <w:szCs w:val="24"/>
        </w:rPr>
        <w:t xml:space="preserve">i. São de propriedade exclusiva do condômino que as construiu;</w:t>
      </w:r>
    </w:p>
    <w:p>
      <w:pPr>
        <w:spacing w:after="80" w:line="276"/>
        <w:ind w:left="720"/>
        <w:jc w:val="both"/>
      </w:pPr>
      <w:r>
        <w:rPr>
          <w:rFonts w:ascii="Times New Roman" w:cs="Times New Roman" w:eastAsia="Times New Roman" w:hAnsi="Times New Roman"/>
          <w:sz w:val="24"/>
          <w:szCs w:val="24"/>
        </w:rPr>
        <w:t xml:space="preserve">ii. Na retirada ou alienação da cota, o condômino poderá: a) Removê-las, se possível sem dano ao imóvel; b) Negociá-las com o adquirente da cota; c) Exigir indenização pelo valor de mercado, avaliado por perito independente.</w:t>
      </w:r>
    </w:p>
    <w:p>
      <w:pPr>
        <w:spacing w:after="80" w:line="276"/>
        <w:ind w:left="720"/>
        <w:jc w:val="both"/>
      </w:pPr>
      <w:r>
        <w:rPr>
          <w:rFonts w:ascii="Times New Roman" w:cs="Times New Roman" w:eastAsia="Times New Roman" w:hAnsi="Times New Roman"/>
          <w:sz w:val="24"/>
          <w:szCs w:val="24"/>
        </w:rPr>
        <w:t xml:space="preserve">iii. Benfeitorias não removíveis incorporadas ao solo sem autorização da Assembleia Geral serão consideradas abandonadas, sem direito a indenização.</w:t>
      </w:r>
    </w:p>
    <w:p>
      <w:pPr>
        <w:spacing w:after="120" w:line="276"/>
        <w:jc w:val="both"/>
      </w:pPr>
      <w:r>
        <w:rPr>
          <w:rFonts w:ascii="Times New Roman" w:cs="Times New Roman" w:eastAsia="Times New Roman" w:hAnsi="Times New Roman"/>
          <w:b w:val="false"/>
          <w:bCs w:val="false"/>
          <w:i w:val="false"/>
          <w:iCs w:val="false"/>
          <w:sz w:val="24"/>
          <w:szCs w:val="24"/>
        </w:rPr>
        <w:t xml:space="preserve">§3º. Qualquer benfeitoria na área comum de valor superior a R$ {{limite_benfeitoria_aprovacao}} depende de aprovação prévia em Assembleia Geral.</w:t>
      </w:r>
    </w:p>
    <w:p>
      <w:pPr>
        <w:spacing w:after="100" w:before="200"/>
        <w:jc w:val="center"/>
      </w:pPr>
      <w:r>
        <w:rPr>
          <w:rFonts w:ascii="Times New Roman" w:cs="Times New Roman" w:eastAsia="Times New Roman" w:hAnsi="Times New Roman"/>
          <w:b/>
          <w:bCs/>
          <w:caps/>
          <w:sz w:val="24"/>
          <w:szCs w:val="24"/>
        </w:rPr>
        <w:t xml:space="preserve">PARTE X — CONFLITOS, DISSOLUÇÃO E DISPOSIÇÕES GERAIS</w:t>
      </w:r>
    </w:p>
    <w:p>
      <w:pPr>
        <w:spacing w:after="80" w:before="160"/>
      </w:pPr>
      <w:r>
        <w:rPr>
          <w:rFonts w:ascii="Times New Roman" w:cs="Times New Roman" w:eastAsia="Times New Roman" w:hAnsi="Times New Roman"/>
          <w:b/>
          <w:bCs/>
          <w:sz w:val="24"/>
          <w:szCs w:val="24"/>
        </w:rPr>
        <w:t xml:space="preserve">CLÁUSULA VIGÉSIMA QUINTA — DA RESOLUÇÃO DE CONFLITOS</w:t>
      </w:r>
    </w:p>
    <w:p>
      <w:pPr>
        <w:spacing w:after="120" w:line="276"/>
        <w:jc w:val="both"/>
      </w:pPr>
      <w:r>
        <w:rPr>
          <w:rFonts w:ascii="Times New Roman" w:cs="Times New Roman" w:eastAsia="Times New Roman" w:hAnsi="Times New Roman"/>
          <w:b w:val="false"/>
          <w:bCs w:val="false"/>
          <w:i w:val="false"/>
          <w:iCs w:val="false"/>
          <w:sz w:val="24"/>
          <w:szCs w:val="24"/>
        </w:rPr>
        <w:t xml:space="preserve">As controvérsias decorrentes deste contrato serão resolvidas preferencialmente por:</w:t>
      </w:r>
    </w:p>
    <w:p>
      <w:pPr>
        <w:spacing w:after="80" w:line="276"/>
        <w:ind w:left="720"/>
        <w:jc w:val="both"/>
      </w:pPr>
      <w:r>
        <w:rPr>
          <w:rFonts w:ascii="Times New Roman" w:cs="Times New Roman" w:eastAsia="Times New Roman" w:hAnsi="Times New Roman"/>
          <w:sz w:val="24"/>
          <w:szCs w:val="24"/>
        </w:rPr>
        <w:t xml:space="preserve">i. Negociação direta entre as partes, no prazo de 15 (quinze) dias;</w:t>
      </w:r>
    </w:p>
    <w:p>
      <w:pPr>
        <w:spacing w:after="80" w:line="276"/>
        <w:ind w:left="720"/>
        <w:jc w:val="both"/>
      </w:pPr>
      <w:r>
        <w:rPr>
          <w:rFonts w:ascii="Times New Roman" w:cs="Times New Roman" w:eastAsia="Times New Roman" w:hAnsi="Times New Roman"/>
          <w:sz w:val="24"/>
          <w:szCs w:val="24"/>
        </w:rPr>
        <w:t xml:space="preserve">ii. Mediação perante {{orgao_mediacao}}, no prazo de 60 (sessenta) dias;</w:t>
      </w:r>
    </w:p>
    <w:p>
      <w:pPr>
        <w:spacing w:after="80" w:line="276"/>
        <w:ind w:left="720"/>
        <w:jc w:val="both"/>
      </w:pPr>
      <w:r>
        <w:rPr>
          <w:rFonts w:ascii="Times New Roman" w:cs="Times New Roman" w:eastAsia="Times New Roman" w:hAnsi="Times New Roman"/>
          <w:sz w:val="24"/>
          <w:szCs w:val="24"/>
        </w:rPr>
        <w:t xml:space="preserve">iii. Em caso de insucesso, fica eleito o foro da Comarca de {{foro_eleito}} — {{uf_imovel}}, com renúncia expressa a qualquer outro, por mais privilegiado que seja.</w:t>
      </w:r>
    </w:p>
    <w:p>
      <w:pPr>
        <w:spacing w:after="80" w:before="160"/>
      </w:pPr>
      <w:r>
        <w:rPr>
          <w:rFonts w:ascii="Times New Roman" w:cs="Times New Roman" w:eastAsia="Times New Roman" w:hAnsi="Times New Roman"/>
          <w:b/>
          <w:bCs/>
          <w:sz w:val="24"/>
          <w:szCs w:val="24"/>
        </w:rPr>
        <w:t xml:space="preserve">CLÁUSULA VIGÉSIMA SEXTA — DA DISSOLUÇÃO</w:t>
      </w:r>
    </w:p>
    <w:p>
      <w:pPr>
        <w:spacing w:after="120" w:line="276"/>
        <w:jc w:val="both"/>
      </w:pPr>
      <w:r>
        <w:rPr>
          <w:rFonts w:ascii="Times New Roman" w:cs="Times New Roman" w:eastAsia="Times New Roman" w:hAnsi="Times New Roman"/>
          <w:b w:val="false"/>
          <w:bCs w:val="false"/>
          <w:i w:val="false"/>
          <w:iCs w:val="false"/>
          <w:sz w:val="24"/>
          <w:szCs w:val="24"/>
        </w:rPr>
        <w:t xml:space="preserve">O condomínio será dissolvido por:</w:t>
      </w:r>
    </w:p>
    <w:p>
      <w:pPr>
        <w:spacing w:after="80" w:line="276"/>
        <w:ind w:left="720"/>
        <w:jc w:val="both"/>
      </w:pPr>
      <w:r>
        <w:rPr>
          <w:rFonts w:ascii="Times New Roman" w:cs="Times New Roman" w:eastAsia="Times New Roman" w:hAnsi="Times New Roman"/>
          <w:sz w:val="24"/>
          <w:szCs w:val="24"/>
        </w:rPr>
        <w:t xml:space="preserve">i. Deliberação unânime dos condôminos em Assembleia Geral;</w:t>
      </w:r>
    </w:p>
    <w:p>
      <w:pPr>
        <w:spacing w:after="80" w:line="276"/>
        <w:ind w:left="720"/>
        <w:jc w:val="both"/>
      </w:pPr>
      <w:r>
        <w:rPr>
          <w:rFonts w:ascii="Times New Roman" w:cs="Times New Roman" w:eastAsia="Times New Roman" w:hAnsi="Times New Roman"/>
          <w:sz w:val="24"/>
          <w:szCs w:val="24"/>
        </w:rPr>
        <w:t xml:space="preserve">ii. Perecimento total do imóvel;</w:t>
      </w:r>
    </w:p>
    <w:p>
      <w:pPr>
        <w:spacing w:after="80" w:line="276"/>
        <w:ind w:left="720"/>
        <w:jc w:val="both"/>
      </w:pPr>
      <w:r>
        <w:rPr>
          <w:rFonts w:ascii="Times New Roman" w:cs="Times New Roman" w:eastAsia="Times New Roman" w:hAnsi="Times New Roman"/>
          <w:sz w:val="24"/>
          <w:szCs w:val="24"/>
        </w:rPr>
        <w:t xml:space="preserve">iii. Sentença judicial transitada em julgado.</w:t>
      </w:r>
    </w:p>
    <w:p>
      <w:pPr>
        <w:spacing w:after="120" w:line="276"/>
        <w:jc w:val="both"/>
      </w:pPr>
      <w:r>
        <w:rPr>
          <w:rFonts w:ascii="Times New Roman" w:cs="Times New Roman" w:eastAsia="Times New Roman" w:hAnsi="Times New Roman"/>
          <w:b w:val="false"/>
          <w:bCs w:val="false"/>
          <w:i w:val="false"/>
          <w:iCs w:val="false"/>
          <w:sz w:val="24"/>
          <w:szCs w:val="24"/>
        </w:rPr>
        <w:t xml:space="preserve">Parágrafo único. Na dissolução, o imóvel e os bens comuns serão partilhados proporcionalmente às cotas-parte, após quitação de todas as obrigações do condomínio, observada a legislação ambiental quanto às Zonas Fixas.</w:t>
      </w:r>
    </w:p>
    <w:p>
      <w:pPr>
        <w:spacing w:after="80" w:before="160"/>
      </w:pPr>
      <w:r>
        <w:rPr>
          <w:rFonts w:ascii="Times New Roman" w:cs="Times New Roman" w:eastAsia="Times New Roman" w:hAnsi="Times New Roman"/>
          <w:b/>
          <w:bCs/>
          <w:sz w:val="24"/>
          <w:szCs w:val="24"/>
        </w:rPr>
        <w:t xml:space="preserve">CLÁUSULA VIGÉSIMA SÉTIMA — DAS DISPOSIÇÕES GERAIS</w:t>
      </w:r>
    </w:p>
    <w:p>
      <w:pPr>
        <w:spacing w:after="120" w:line="276"/>
        <w:jc w:val="both"/>
      </w:pPr>
      <w:r>
        <w:rPr>
          <w:rFonts w:ascii="Times New Roman" w:cs="Times New Roman" w:eastAsia="Times New Roman" w:hAnsi="Times New Roman"/>
          <w:b w:val="false"/>
          <w:bCs w:val="false"/>
          <w:i w:val="false"/>
          <w:iCs w:val="false"/>
          <w:sz w:val="24"/>
          <w:szCs w:val="24"/>
        </w:rPr>
        <w:t xml:space="preserve">Este contrato é celebrado em caráter irrevogável e irretratável, obrigando as partes, seus herdeiros e sucessores a qualquer título.</w:t>
      </w:r>
    </w:p>
    <w:p>
      <w:pPr>
        <w:spacing w:after="120" w:line="276"/>
        <w:jc w:val="both"/>
      </w:pPr>
      <w:r>
        <w:rPr>
          <w:rFonts w:ascii="Times New Roman" w:cs="Times New Roman" w:eastAsia="Times New Roman" w:hAnsi="Times New Roman"/>
          <w:b w:val="false"/>
          <w:bCs w:val="false"/>
          <w:i w:val="false"/>
          <w:iCs w:val="false"/>
          <w:sz w:val="24"/>
          <w:szCs w:val="24"/>
        </w:rPr>
        <w:t xml:space="preserve">Qualquer alteração a este instrumento somente terá validade se feita mediante termo aditivo escrito, assinado por condôminos titulares de no mínimo dois terços (2/3) das cotas-parte.</w:t>
      </w:r>
    </w:p>
    <w:p>
      <w:pPr>
        <w:spacing w:after="120" w:line="276"/>
        <w:jc w:val="both"/>
      </w:pPr>
      <w:r>
        <w:rPr>
          <w:rFonts w:ascii="Times New Roman" w:cs="Times New Roman" w:eastAsia="Times New Roman" w:hAnsi="Times New Roman"/>
          <w:b w:val="false"/>
          <w:bCs w:val="false"/>
          <w:i w:val="false"/>
          <w:iCs w:val="false"/>
          <w:sz w:val="24"/>
          <w:szCs w:val="24"/>
        </w:rPr>
        <w:t xml:space="preserve">Os casos omissos serão regulados pelo Código Civil, pelo Estatuto da Terra e pelo Decreto nº 59.566/1966.</w:t>
      </w:r>
    </w:p>
    <w:p>
      <w:r>
        <w:br w:type="page"/>
      </w:r>
    </w:p>
    <w:p>
      <w:pPr>
        <w:spacing w:after="100" w:before="200"/>
        <w:jc w:val="center"/>
      </w:pPr>
      <w:r>
        <w:rPr>
          <w:rFonts w:ascii="Times New Roman" w:cs="Times New Roman" w:eastAsia="Times New Roman" w:hAnsi="Times New Roman"/>
          <w:b/>
          <w:bCs/>
          <w:caps/>
          <w:sz w:val="24"/>
          <w:szCs w:val="24"/>
        </w:rPr>
        <w:t xml:space="preserve">LOCAL E ASSINATURAS</w:t>
      </w:r>
    </w:p>
    <w:p>
      <w:pPr>
        <w:spacing w:after="120" w:line="276"/>
        <w:jc w:val="both"/>
      </w:pPr>
      <w:r>
        <w:rPr>
          <w:rFonts w:ascii="Times New Roman" w:cs="Times New Roman" w:eastAsia="Times New Roman" w:hAnsi="Times New Roman"/>
          <w:b w:val="false"/>
          <w:bCs w:val="false"/>
          <w:i w:val="false"/>
          <w:iCs w:val="false"/>
          <w:sz w:val="24"/>
          <w:szCs w:val="24"/>
        </w:rPr>
        <w:t xml:space="preserve">{{municipio_imovel}}/{{uf_imovel}}, {{data_assinatura}}.</w:t>
      </w:r>
    </w:p>
    <w:p>
      <w:pPr>
        <w:spacing w:after="200"/>
      </w:pPr>
    </w:p>
    <w:tbl>
      <w:tblPr>
        <w:tblW w:type="dxa" w:w="8800"/>
        <w:tblBorders>
          <w:top w:val="single" w:color="333333" w:sz="4"/>
          <w:left w:val="single" w:color="333333" w:sz="4"/>
          <w:bottom w:val="single" w:color="333333" w:sz="4"/>
          <w:right w:val="single" w:color="333333" w:sz="4"/>
          <w:insideH w:val="single" w:color="auto" w:sz="4"/>
          <w:insideV w:val="single" w:color="auto" w:sz="4"/>
        </w:tblBorders>
      </w:tblPr>
      <w:tblGrid>
        <w:gridCol w:w="2800"/>
        <w:gridCol w:w="4000"/>
        <w:gridCol w:w="2000"/>
      </w:tblGrid>
      <w:tr>
        <w:trPr>
          <w:tblHeader/>
        </w:trPr>
        <w:tc>
          <w:tcPr>
            <w:tcW w:type="dxa" w:w="2800"/>
            <w:shd w:fill="1a2e1a" w:val="clear"/>
          </w:tcPr>
          <w:p>
            <w:pPr>
              <w:jc w:val="center"/>
            </w:pPr>
            <w:r>
              <w:rPr>
                <w:rFonts w:ascii="Times New Roman" w:cs="Times New Roman" w:eastAsia="Times New Roman" w:hAnsi="Times New Roman"/>
                <w:b/>
                <w:bCs/>
                <w:color w:val="FFFFFF"/>
                <w:sz w:val="20"/>
                <w:szCs w:val="20"/>
              </w:rPr>
              <w:t xml:space="preserve">Condômino</w:t>
            </w:r>
          </w:p>
        </w:tc>
        <w:tc>
          <w:tcPr>
            <w:tcW w:type="dxa" w:w="4000"/>
            <w:shd w:fill="1a2e1a" w:val="clear"/>
          </w:tcPr>
          <w:p>
            <w:pPr>
              <w:jc w:val="center"/>
            </w:pPr>
            <w:r>
              <w:rPr>
                <w:rFonts w:ascii="Times New Roman" w:cs="Times New Roman" w:eastAsia="Times New Roman" w:hAnsi="Times New Roman"/>
                <w:b/>
                <w:bCs/>
                <w:color w:val="FFFFFF"/>
                <w:sz w:val="20"/>
                <w:szCs w:val="20"/>
              </w:rPr>
              <w:t xml:space="preserve">Assinatura</w:t>
            </w:r>
          </w:p>
        </w:tc>
        <w:tc>
          <w:tcPr>
            <w:tcW w:type="dxa" w:w="2000"/>
            <w:shd w:fill="1a2e1a" w:val="clear"/>
          </w:tcPr>
          <w:p>
            <w:pPr>
              <w:jc w:val="center"/>
            </w:pPr>
            <w:r>
              <w:rPr>
                <w:rFonts w:ascii="Times New Roman" w:cs="Times New Roman" w:eastAsia="Times New Roman" w:hAnsi="Times New Roman"/>
                <w:b/>
                <w:bCs/>
                <w:color w:val="FFFFFF"/>
                <w:sz w:val="20"/>
                <w:szCs w:val="20"/>
              </w:rPr>
              <w:t xml:space="preserve">CPF/CNPJ</w:t>
            </w:r>
          </w:p>
        </w:tc>
      </w:tr>
      <w:tr>
        <w:tc>
          <w:tcPr>
            <w:tcW w:type="dxa" w:w="2800"/>
            <w:shd w:fill="f5f0e8" w:val="clear"/>
          </w:tcPr>
          <w:p>
            <w:pPr>
              <w:jc w:val="left"/>
            </w:pPr>
            <w:r>
              <w:rPr>
                <w:rFonts w:ascii="Times New Roman" w:cs="Times New Roman" w:eastAsia="Times New Roman" w:hAnsi="Times New Roman"/>
                <w:b w:val="false"/>
                <w:bCs w:val="false"/>
                <w:color w:val="000000"/>
                <w:sz w:val="20"/>
                <w:szCs w:val="20"/>
              </w:rPr>
              <w:t xml:space="preserve">{{condomino_1_nome}}</w:t>
            </w:r>
          </w:p>
        </w:tc>
        <w:tc>
          <w:tcPr>
            <w:tcW w:type="dxa" w:w="4000"/>
            <w:shd w:fill="f5f0e8" w:val="clear"/>
          </w:tcPr>
          <w:p>
            <w:pPr>
              <w:jc w:val="center"/>
            </w:pPr>
            <w:r>
              <w:rPr>
                <w:rFonts w:ascii="Times New Roman" w:cs="Times New Roman" w:eastAsia="Times New Roman" w:hAnsi="Times New Roman"/>
                <w:b w:val="false"/>
                <w:bCs w:val="false"/>
                <w:color w:val="000000"/>
                <w:sz w:val="20"/>
                <w:szCs w:val="20"/>
              </w:rPr>
              <w:t xml:space="preserve">_________________________________</w:t>
            </w:r>
          </w:p>
        </w:tc>
        <w:tc>
          <w:tcPr>
            <w:tcW w:type="dxa" w:w="2000"/>
            <w:shd w:fill="f5f0e8" w:val="clear"/>
          </w:tcPr>
          <w:p>
            <w:pPr>
              <w:jc w:val="center"/>
            </w:pPr>
            <w:r>
              <w:rPr>
                <w:rFonts w:ascii="Times New Roman" w:cs="Times New Roman" w:eastAsia="Times New Roman" w:hAnsi="Times New Roman"/>
                <w:b w:val="false"/>
                <w:bCs w:val="false"/>
                <w:color w:val="000000"/>
                <w:sz w:val="20"/>
                <w:szCs w:val="20"/>
              </w:rPr>
              <w:t xml:space="preserve">{{condomino_1_doc}}</w:t>
            </w:r>
          </w:p>
        </w:tc>
      </w:tr>
      <w:tr>
        <w:tc>
          <w:tcPr>
            <w:tcW w:type="dxa" w:w="2800"/>
            <w:shd w:fill="FFFFFF" w:val="clear"/>
          </w:tcPr>
          <w:p>
            <w:pPr>
              <w:jc w:val="left"/>
            </w:pPr>
            <w:r>
              <w:rPr>
                <w:rFonts w:ascii="Times New Roman" w:cs="Times New Roman" w:eastAsia="Times New Roman" w:hAnsi="Times New Roman"/>
                <w:b w:val="false"/>
                <w:bCs w:val="false"/>
                <w:color w:val="000000"/>
                <w:sz w:val="20"/>
                <w:szCs w:val="20"/>
              </w:rPr>
              <w:t xml:space="preserve">{{condomino_2_nome}}</w:t>
            </w:r>
          </w:p>
        </w:tc>
        <w:tc>
          <w:tcPr>
            <w:tcW w:type="dxa" w:w="4000"/>
            <w:shd w:fill="FFFFFF" w:val="clear"/>
          </w:tcPr>
          <w:p>
            <w:pPr>
              <w:jc w:val="center"/>
            </w:pPr>
            <w:r>
              <w:rPr>
                <w:rFonts w:ascii="Times New Roman" w:cs="Times New Roman" w:eastAsia="Times New Roman" w:hAnsi="Times New Roman"/>
                <w:b w:val="false"/>
                <w:bCs w:val="false"/>
                <w:color w:val="000000"/>
                <w:sz w:val="20"/>
                <w:szCs w:val="20"/>
              </w:rPr>
              <w:t xml:space="preserve">_________________________________</w:t>
            </w:r>
          </w:p>
        </w:tc>
        <w:tc>
          <w:tcPr>
            <w:tcW w:type="dxa" w:w="2000"/>
            <w:shd w:fill="FFFFFF" w:val="clear"/>
          </w:tcPr>
          <w:p>
            <w:pPr>
              <w:jc w:val="center"/>
            </w:pPr>
            <w:r>
              <w:rPr>
                <w:rFonts w:ascii="Times New Roman" w:cs="Times New Roman" w:eastAsia="Times New Roman" w:hAnsi="Times New Roman"/>
                <w:b w:val="false"/>
                <w:bCs w:val="false"/>
                <w:color w:val="000000"/>
                <w:sz w:val="20"/>
                <w:szCs w:val="20"/>
              </w:rPr>
              <w:t xml:space="preserve">{{condomino_2_doc}}</w:t>
            </w:r>
          </w:p>
        </w:tc>
      </w:tr>
      <w:tr>
        <w:tc>
          <w:tcPr>
            <w:tcW w:type="dxa" w:w="2800"/>
            <w:shd w:fill="f5f0e8" w:val="clear"/>
          </w:tcPr>
          <w:p>
            <w:pPr>
              <w:jc w:val="left"/>
            </w:pPr>
            <w:r>
              <w:rPr>
                <w:rFonts w:ascii="Times New Roman" w:cs="Times New Roman" w:eastAsia="Times New Roman" w:hAnsi="Times New Roman"/>
                <w:b w:val="false"/>
                <w:bCs w:val="false"/>
                <w:color w:val="000000"/>
                <w:sz w:val="20"/>
                <w:szCs w:val="20"/>
              </w:rPr>
              <w:t xml:space="preserve">{{condomino_3_nome}}</w:t>
            </w:r>
          </w:p>
        </w:tc>
        <w:tc>
          <w:tcPr>
            <w:tcW w:type="dxa" w:w="4000"/>
            <w:shd w:fill="f5f0e8" w:val="clear"/>
          </w:tcPr>
          <w:p>
            <w:pPr>
              <w:jc w:val="center"/>
            </w:pPr>
            <w:r>
              <w:rPr>
                <w:rFonts w:ascii="Times New Roman" w:cs="Times New Roman" w:eastAsia="Times New Roman" w:hAnsi="Times New Roman"/>
                <w:b w:val="false"/>
                <w:bCs w:val="false"/>
                <w:color w:val="000000"/>
                <w:sz w:val="20"/>
                <w:szCs w:val="20"/>
              </w:rPr>
              <w:t xml:space="preserve">_________________________________</w:t>
            </w:r>
          </w:p>
        </w:tc>
        <w:tc>
          <w:tcPr>
            <w:tcW w:type="dxa" w:w="2000"/>
            <w:shd w:fill="f5f0e8" w:val="clear"/>
          </w:tcPr>
          <w:p>
            <w:pPr>
              <w:jc w:val="center"/>
            </w:pPr>
            <w:r>
              <w:rPr>
                <w:rFonts w:ascii="Times New Roman" w:cs="Times New Roman" w:eastAsia="Times New Roman" w:hAnsi="Times New Roman"/>
                <w:b w:val="false"/>
                <w:bCs w:val="false"/>
                <w:color w:val="000000"/>
                <w:sz w:val="20"/>
                <w:szCs w:val="20"/>
              </w:rPr>
              <w:t xml:space="preserve">{{condomino_3_doc}}</w:t>
            </w:r>
          </w:p>
        </w:tc>
      </w:tr>
    </w:tbl>
    <w:p>
      <w:pPr>
        <w:spacing w:after="160"/>
      </w:pPr>
    </w:p>
    <w:p>
      <w:pPr>
        <w:spacing w:after="120" w:line="276"/>
        <w:jc w:val="both"/>
      </w:pPr>
      <w:r>
        <w:rPr>
          <w:rFonts w:ascii="Times New Roman" w:cs="Times New Roman" w:eastAsia="Times New Roman" w:hAnsi="Times New Roman"/>
          <w:b/>
          <w:bCs/>
          <w:i w:val="false"/>
          <w:iCs w:val="false"/>
          <w:sz w:val="24"/>
          <w:szCs w:val="24"/>
        </w:rPr>
        <w:t xml:space="preserve">Testemunhas:</w:t>
      </w:r>
    </w:p>
    <w:tbl>
      <w:tblPr>
        <w:tblW w:type="dxa" w:w="8800"/>
        <w:tblBorders>
          <w:top w:val="single" w:color="333333" w:sz="4"/>
          <w:left w:val="single" w:color="333333" w:sz="4"/>
          <w:bottom w:val="single" w:color="333333" w:sz="4"/>
          <w:right w:val="single" w:color="333333" w:sz="4"/>
          <w:insideH w:val="single" w:color="auto" w:sz="4"/>
          <w:insideV w:val="single" w:color="auto" w:sz="4"/>
        </w:tblBorders>
      </w:tblPr>
      <w:tblGrid>
        <w:gridCol w:w="3000"/>
        <w:gridCol w:w="4000"/>
        <w:gridCol w:w="1800"/>
      </w:tblGrid>
      <w:tr>
        <w:trPr>
          <w:tblHeader/>
        </w:trPr>
        <w:tc>
          <w:tcPr>
            <w:tcW w:type="dxa" w:w="3000"/>
            <w:shd w:fill="1a2e1a" w:val="clear"/>
          </w:tcPr>
          <w:p>
            <w:pPr>
              <w:jc w:val="center"/>
            </w:pPr>
            <w:r>
              <w:rPr>
                <w:rFonts w:ascii="Times New Roman" w:cs="Times New Roman" w:eastAsia="Times New Roman" w:hAnsi="Times New Roman"/>
                <w:b/>
                <w:bCs/>
                <w:color w:val="FFFFFF"/>
                <w:sz w:val="20"/>
                <w:szCs w:val="20"/>
              </w:rPr>
              <w:t xml:space="preserve">Nome</w:t>
            </w:r>
          </w:p>
        </w:tc>
        <w:tc>
          <w:tcPr>
            <w:tcW w:type="dxa" w:w="4000"/>
            <w:shd w:fill="1a2e1a" w:val="clear"/>
          </w:tcPr>
          <w:p>
            <w:pPr>
              <w:jc w:val="center"/>
            </w:pPr>
            <w:r>
              <w:rPr>
                <w:rFonts w:ascii="Times New Roman" w:cs="Times New Roman" w:eastAsia="Times New Roman" w:hAnsi="Times New Roman"/>
                <w:b/>
                <w:bCs/>
                <w:color w:val="FFFFFF"/>
                <w:sz w:val="20"/>
                <w:szCs w:val="20"/>
              </w:rPr>
              <w:t xml:space="preserve">Assinatura</w:t>
            </w:r>
          </w:p>
        </w:tc>
        <w:tc>
          <w:tcPr>
            <w:tcW w:type="dxa" w:w="1800"/>
            <w:shd w:fill="1a2e1a" w:val="clear"/>
          </w:tcPr>
          <w:p>
            <w:pPr>
              <w:jc w:val="center"/>
            </w:pPr>
            <w:r>
              <w:rPr>
                <w:rFonts w:ascii="Times New Roman" w:cs="Times New Roman" w:eastAsia="Times New Roman" w:hAnsi="Times New Roman"/>
                <w:b/>
                <w:bCs/>
                <w:color w:val="FFFFFF"/>
                <w:sz w:val="20"/>
                <w:szCs w:val="20"/>
              </w:rPr>
              <w:t xml:space="preserve">CPF</w:t>
            </w:r>
          </w:p>
        </w:tc>
      </w:tr>
      <w:tr>
        <w:tc>
          <w:tcPr>
            <w:tcW w:type="dxa" w:w="3000"/>
            <w:shd w:fill="f5f0e8" w:val="clear"/>
          </w:tcPr>
          <w:p>
            <w:pPr>
              <w:jc w:val="left"/>
            </w:pPr>
            <w:r>
              <w:rPr>
                <w:rFonts w:ascii="Times New Roman" w:cs="Times New Roman" w:eastAsia="Times New Roman" w:hAnsi="Times New Roman"/>
                <w:b w:val="false"/>
                <w:bCs w:val="false"/>
                <w:color w:val="000000"/>
                <w:sz w:val="20"/>
                <w:szCs w:val="20"/>
              </w:rPr>
              <w:t xml:space="preserve">1. _______________________________</w:t>
            </w:r>
          </w:p>
        </w:tc>
        <w:tc>
          <w:tcPr>
            <w:tcW w:type="dxa" w:w="4000"/>
            <w:shd w:fill="f5f0e8" w:val="clear"/>
          </w:tcPr>
          <w:p>
            <w:pPr>
              <w:jc w:val="center"/>
            </w:pPr>
            <w:r>
              <w:rPr>
                <w:rFonts w:ascii="Times New Roman" w:cs="Times New Roman" w:eastAsia="Times New Roman" w:hAnsi="Times New Roman"/>
                <w:b w:val="false"/>
                <w:bCs w:val="false"/>
                <w:color w:val="000000"/>
                <w:sz w:val="20"/>
                <w:szCs w:val="20"/>
              </w:rPr>
              <w:t xml:space="preserve">_________________________________</w:t>
            </w:r>
          </w:p>
        </w:tc>
        <w:tc>
          <w:tcPr>
            <w:tcW w:type="dxa" w:w="1800"/>
            <w:shd w:fill="f5f0e8" w:val="clear"/>
          </w:tcPr>
          <w:p>
            <w:pPr>
              <w:jc w:val="center"/>
            </w:pPr>
            <w:r>
              <w:rPr>
                <w:rFonts w:ascii="Times New Roman" w:cs="Times New Roman" w:eastAsia="Times New Roman" w:hAnsi="Times New Roman"/>
                <w:b w:val="false"/>
                <w:bCs w:val="false"/>
                <w:color w:val="000000"/>
                <w:sz w:val="20"/>
                <w:szCs w:val="20"/>
              </w:rPr>
              <w:t xml:space="preserve">___.___.___-__</w:t>
            </w:r>
          </w:p>
        </w:tc>
      </w:tr>
      <w:tr>
        <w:tc>
          <w:tcPr>
            <w:tcW w:type="dxa" w:w="3000"/>
            <w:shd w:fill="FFFFFF" w:val="clear"/>
          </w:tcPr>
          <w:p>
            <w:pPr>
              <w:jc w:val="left"/>
            </w:pPr>
            <w:r>
              <w:rPr>
                <w:rFonts w:ascii="Times New Roman" w:cs="Times New Roman" w:eastAsia="Times New Roman" w:hAnsi="Times New Roman"/>
                <w:b w:val="false"/>
                <w:bCs w:val="false"/>
                <w:color w:val="000000"/>
                <w:sz w:val="20"/>
                <w:szCs w:val="20"/>
              </w:rPr>
              <w:t xml:space="preserve">2. _______________________________</w:t>
            </w:r>
          </w:p>
        </w:tc>
        <w:tc>
          <w:tcPr>
            <w:tcW w:type="dxa" w:w="4000"/>
            <w:shd w:fill="FFFFFF" w:val="clear"/>
          </w:tcPr>
          <w:p>
            <w:pPr>
              <w:jc w:val="center"/>
            </w:pPr>
            <w:r>
              <w:rPr>
                <w:rFonts w:ascii="Times New Roman" w:cs="Times New Roman" w:eastAsia="Times New Roman" w:hAnsi="Times New Roman"/>
                <w:b w:val="false"/>
                <w:bCs w:val="false"/>
                <w:color w:val="000000"/>
                <w:sz w:val="20"/>
                <w:szCs w:val="20"/>
              </w:rPr>
              <w:t xml:space="preserve">_________________________________</w:t>
            </w:r>
          </w:p>
        </w:tc>
        <w:tc>
          <w:tcPr>
            <w:tcW w:type="dxa" w:w="1800"/>
            <w:shd w:fill="FFFFFF" w:val="clear"/>
          </w:tcPr>
          <w:p>
            <w:pPr>
              <w:jc w:val="center"/>
            </w:pPr>
            <w:r>
              <w:rPr>
                <w:rFonts w:ascii="Times New Roman" w:cs="Times New Roman" w:eastAsia="Times New Roman" w:hAnsi="Times New Roman"/>
                <w:b w:val="false"/>
                <w:bCs w:val="false"/>
                <w:color w:val="000000"/>
                <w:sz w:val="20"/>
                <w:szCs w:val="20"/>
              </w:rPr>
              <w:t xml:space="preserve">___.___.___-__</w:t>
            </w:r>
          </w:p>
        </w:tc>
      </w:tr>
    </w:tbl>
    <w:p>
      <w:pPr>
        <w:spacing w:after="120"/>
      </w:pPr>
    </w:p>
    <w:p>
      <w:pPr>
        <w:spacing w:after="120" w:line="276"/>
        <w:jc w:val="center"/>
      </w:pPr>
      <w:r>
        <w:rPr>
          <w:rFonts w:ascii="Times New Roman" w:cs="Times New Roman" w:eastAsia="Times New Roman" w:hAnsi="Times New Roman"/>
          <w:b w:val="false"/>
          <w:bCs w:val="false"/>
          <w:i w:val="false"/>
          <w:iCs w:val="false"/>
          <w:sz w:val="24"/>
          <w:szCs w:val="24"/>
        </w:rPr>
        <w:t xml:space="preserve">Reconhecimento de Firma: ☐ Por autenticidade   ☐ Por semelhança</w:t>
      </w:r>
    </w:p>
    <w:p>
      <w:pPr>
        <w:spacing w:after="120" w:line="276"/>
        <w:jc w:val="center"/>
      </w:pPr>
      <w:r>
        <w:rPr>
          <w:rFonts w:ascii="Times New Roman" w:cs="Times New Roman" w:eastAsia="Times New Roman" w:hAnsi="Times New Roman"/>
          <w:b w:val="false"/>
          <w:bCs w:val="false"/>
          <w:i/>
          <w:iCs/>
          <w:sz w:val="20"/>
          <w:szCs w:val="20"/>
        </w:rPr>
        <w:t xml:space="preserve">Registro no Cartório de Imóveis: obrigatório para eficácia perante terceiros (art. 221, II, Lei 6.015/73)</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Contrato de Condomínio Rural — Página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de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2026-07-22T21:53:33.352Z</dcterms:created>
  <dcterms:modified xsi:type="dcterms:W3CDTF">2026-07-22T21:53:33.376Z</dcterms:modified>
</cp:coreProperties>
</file>

<file path=docProps/custom.xml><?xml version="1.0" encoding="utf-8"?>
<Properties xmlns="http://schemas.openxmlformats.org/officeDocument/2006/custom-properties" xmlns:vt="http://schemas.openxmlformats.org/officeDocument/2006/docPropsVTypes"/>
</file>