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2"/>
          <w:lang w:val="es-CL" w:eastAsia="es-CL" w:bidi="es-CL"/>
        </w:rPr>
        <w:t xml:space="preserve">Fecha: </w:t>
      </w:r>
      <w:r>
        <w:rPr>
          <w:rFonts w:ascii="Arial" w:hAnsi="Arial"/>
          <w:sz w:val="22"/>
          <w:lang w:val="es-CL" w:eastAsia="es-CL" w:bidi="es-CL"/>
        </w:rPr>
        <w:t>4 de septiembre de 2026</w:t>
      </w:r>
    </w:p>
    <w:p>
      <w:r>
        <w:rPr>
          <w:rFonts w:ascii="Arial" w:hAnsi="Arial"/>
          <w:b/>
          <w:sz w:val="22"/>
          <w:lang w:val="es-CL" w:eastAsia="es-CL" w:bidi="es-CL"/>
        </w:rPr>
        <w:t xml:space="preserve">De: </w:t>
      </w:r>
      <w:r>
        <w:rPr>
          <w:rFonts w:ascii="Arial" w:hAnsi="Arial"/>
          <w:sz w:val="22"/>
          <w:lang w:val="es-CL" w:eastAsia="es-CL" w:bidi="es-CL"/>
        </w:rPr>
        <w:t>Luis Rivera — Dirección de Ingeniería y Obras, Aguas Antofagasta S.A.</w:t>
      </w:r>
    </w:p>
    <w:p>
      <w:r>
        <w:rPr>
          <w:rFonts w:ascii="Arial" w:hAnsi="Arial"/>
          <w:b/>
          <w:sz w:val="22"/>
          <w:lang w:val="es-CL" w:eastAsia="es-CL" w:bidi="es-CL"/>
        </w:rPr>
        <w:t xml:space="preserve">Para: </w:t>
      </w:r>
      <w:r>
        <w:rPr>
          <w:rFonts w:ascii="Arial" w:hAnsi="Arial"/>
          <w:sz w:val="22"/>
          <w:lang w:val="es-CL" w:eastAsia="es-CL" w:bidi="es-CL"/>
        </w:rPr>
        <w:t>[COMPLETAR: oferentes invitados a la licitación]</w:t>
      </w:r>
    </w:p>
    <w:p>
      <w:r>
        <w:rPr>
          <w:rFonts w:ascii="Arial" w:hAnsi="Arial"/>
          <w:b/>
          <w:sz w:val="22"/>
          <w:lang w:val="es-CL" w:eastAsia="es-CL" w:bidi="es-CL"/>
        </w:rPr>
        <w:t xml:space="preserve">CC: </w:t>
      </w:r>
      <w:r>
        <w:rPr>
          <w:rFonts w:ascii="Arial" w:hAnsi="Arial"/>
          <w:sz w:val="22"/>
          <w:lang w:val="es-CL" w:eastAsia="es-CL" w:bidi="es-CL"/>
        </w:rPr>
        <w:t>Víctor Gutiérrez (ADASA)</w:t>
      </w:r>
    </w:p>
    <w:p>
      <w:r>
        <w:rPr>
          <w:rFonts w:ascii="Arial" w:hAnsi="Arial"/>
          <w:b/>
          <w:sz w:val="22"/>
          <w:lang w:val="es-CL" w:eastAsia="es-CL" w:bidi="es-CL"/>
        </w:rPr>
        <w:t xml:space="preserve">Asunto: </w:t>
      </w:r>
      <w:r>
        <w:rPr>
          <w:rFonts w:ascii="Arial" w:hAnsi="Arial"/>
          <w:sz w:val="22"/>
          <w:lang w:val="es-CL" w:eastAsia="es-CL" w:bidi="es-CL"/>
        </w:rPr>
        <w:t>PD Taltal — Aclaración N°1: se emite la revisión 1 del paquete de licitación de Montaje Mecánico y Obras Civiles</w:t>
      </w:r>
    </w:p>
    <w:p>
      <w:r>
        <w:rPr>
          <w:rFonts w:ascii="Arial" w:hAnsi="Arial"/>
          <w:b/>
          <w:sz w:val="22"/>
          <w:lang w:val="es-CL" w:eastAsia="es-CL" w:bidi="es-CL"/>
        </w:rPr>
        <w:t xml:space="preserve">Ref: </w:t>
      </w:r>
      <w:r>
        <w:rPr>
          <w:rFonts w:ascii="Arial" w:hAnsi="Arial"/>
          <w:sz w:val="22"/>
          <w:lang w:val="es-CL" w:eastAsia="es-CL" w:bidi="es-CL"/>
        </w:rPr>
        <w:t>P22-BL-06-000-001-1 / BAE 12803</w:t>
      </w:r>
    </w:p>
    <w:p/>
    <w:p>
      <w:r>
        <w:rPr>
          <w:rFonts w:ascii="Arial" w:hAnsi="Arial"/>
          <w:b w:val="0"/>
          <w:sz w:val="22"/>
          <w:lang w:val="es-CL" w:eastAsia="es-CL" w:bidi="es-CL"/>
        </w:rPr>
        <w:t>Estimados señores:</w:t>
      </w:r>
    </w:p>
    <w:p/>
    <w:p>
      <w:r>
        <w:rPr>
          <w:rFonts w:ascii="Arial" w:hAnsi="Arial"/>
          <w:b w:val="0"/>
          <w:sz w:val="22"/>
          <w:lang w:val="es-CL" w:eastAsia="es-CL" w:bidi="es-CL"/>
        </w:rPr>
        <w:t>La ingeniería de detalle que respalda esta licitación se actualizó después de la distribución del paquete. Aguas Antofagasta emite en consecuencia la revisión 1 de las Bases de Licitación P22-BL-06-000-001 y del paquete completo que las acompaña. Esta revisión reemplaza íntegramente a la revisión 0 del 25 de junio de 2026.</w:t>
      </w:r>
    </w:p>
    <w:p/>
    <w:p>
      <w:r>
        <w:rPr>
          <w:rFonts w:ascii="Arial" w:hAnsi="Arial"/>
          <w:b/>
          <w:sz w:val="22"/>
          <w:lang w:val="es-CL" w:eastAsia="es-CL" w:bidi="es-CL"/>
        </w:rPr>
        <w:t>Lo que cambia</w:t>
      </w:r>
    </w:p>
    <w:p>
      <w:r>
        <w:rPr>
          <w:rFonts w:ascii="Arial" w:hAnsi="Arial"/>
          <w:b w:val="0"/>
          <w:sz w:val="22"/>
          <w:lang w:val="es-CL" w:eastAsia="es-CL" w:bidi="es-CL"/>
        </w:rPr>
        <w:t>El punto de fondo es que la fundación del contenedor del módulo sube 250 milímetros: su cara superior pasa de la cota +6,050 a la cota +6,300. Con ella suben las cuatro cotas de conexión con el módulo, que la Sección 4.3 de las Bases publica actualizadas. Las conexiones con el módulo existente de 11 litros por segundo no cambian.</w:t>
      </w:r>
    </w:p>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Arial" w:hAnsi="Arial"/>
                <w:b/>
                <w:sz w:val="20"/>
                <w:lang w:val="es-CL" w:eastAsia="es-CL" w:bidi="es-CL"/>
              </w:rPr>
              <w:t>Punto de conexión</w:t>
            </w:r>
          </w:p>
        </w:tc>
        <w:tc>
          <w:tcPr>
            <w:tcW w:type="dxa" w:w="3312"/>
          </w:tcPr>
          <w:p>
            <w:r>
              <w:rPr>
                <w:rFonts w:ascii="Arial" w:hAnsi="Arial"/>
                <w:b/>
                <w:sz w:val="20"/>
                <w:lang w:val="es-CL" w:eastAsia="es-CL" w:bidi="es-CL"/>
              </w:rPr>
              <w:t>Cota en la revisión 0</w:t>
            </w:r>
          </w:p>
        </w:tc>
        <w:tc>
          <w:tcPr>
            <w:tcW w:type="dxa" w:w="3312"/>
          </w:tcPr>
          <w:p>
            <w:r>
              <w:rPr>
                <w:rFonts w:ascii="Arial" w:hAnsi="Arial"/>
                <w:b/>
                <w:sz w:val="20"/>
                <w:lang w:val="es-CL" w:eastAsia="es-CL" w:bidi="es-CL"/>
              </w:rPr>
              <w:t>Cota en la revisión 1</w:t>
            </w:r>
          </w:p>
        </w:tc>
      </w:tr>
      <w:tr>
        <w:tc>
          <w:tcPr>
            <w:tcW w:type="dxa" w:w="3312"/>
          </w:tcPr>
          <w:p>
            <w:r>
              <w:rPr>
                <w:rFonts w:ascii="Arial" w:hAnsi="Arial"/>
                <w:sz w:val="20"/>
                <w:lang w:val="es-CL" w:eastAsia="es-CL" w:bidi="es-CL"/>
              </w:rPr>
              <w:t>P8-001, entrada de salmuera al módulo</w:t>
            </w:r>
          </w:p>
        </w:tc>
        <w:tc>
          <w:tcPr>
            <w:tcW w:type="dxa" w:w="3312"/>
          </w:tcPr>
          <w:p>
            <w:r>
              <w:rPr>
                <w:rFonts w:ascii="Arial" w:hAnsi="Arial"/>
                <w:sz w:val="20"/>
                <w:lang w:val="es-CL" w:eastAsia="es-CL" w:bidi="es-CL"/>
              </w:rPr>
              <w:t>+8,250</w:t>
            </w:r>
          </w:p>
        </w:tc>
        <w:tc>
          <w:tcPr>
            <w:tcW w:type="dxa" w:w="3312"/>
          </w:tcPr>
          <w:p>
            <w:r>
              <w:rPr>
                <w:rFonts w:ascii="Arial" w:hAnsi="Arial"/>
                <w:sz w:val="20"/>
                <w:lang w:val="es-CL" w:eastAsia="es-CL" w:bidi="es-CL"/>
              </w:rPr>
              <w:t>+8,500</w:t>
            </w:r>
          </w:p>
        </w:tc>
      </w:tr>
      <w:tr>
        <w:tc>
          <w:tcPr>
            <w:tcW w:type="dxa" w:w="3312"/>
          </w:tcPr>
          <w:p>
            <w:r>
              <w:rPr>
                <w:rFonts w:ascii="Arial" w:hAnsi="Arial"/>
                <w:sz w:val="20"/>
                <w:lang w:val="es-CL" w:eastAsia="es-CL" w:bidi="es-CL"/>
              </w:rPr>
              <w:t>P9-001, permeado</w:t>
            </w:r>
          </w:p>
        </w:tc>
        <w:tc>
          <w:tcPr>
            <w:tcW w:type="dxa" w:w="3312"/>
          </w:tcPr>
          <w:p>
            <w:r>
              <w:rPr>
                <w:rFonts w:ascii="Arial" w:hAnsi="Arial"/>
                <w:sz w:val="20"/>
                <w:lang w:val="es-CL" w:eastAsia="es-CL" w:bidi="es-CL"/>
              </w:rPr>
              <w:t>+8,593</w:t>
            </w:r>
          </w:p>
        </w:tc>
        <w:tc>
          <w:tcPr>
            <w:tcW w:type="dxa" w:w="3312"/>
          </w:tcPr>
          <w:p>
            <w:r>
              <w:rPr>
                <w:rFonts w:ascii="Arial" w:hAnsi="Arial"/>
                <w:sz w:val="20"/>
                <w:lang w:val="es-CL" w:eastAsia="es-CL" w:bidi="es-CL"/>
              </w:rPr>
              <w:t>+8,850</w:t>
            </w:r>
          </w:p>
        </w:tc>
      </w:tr>
      <w:tr>
        <w:tc>
          <w:tcPr>
            <w:tcW w:type="dxa" w:w="3312"/>
          </w:tcPr>
          <w:p>
            <w:r>
              <w:rPr>
                <w:rFonts w:ascii="Arial" w:hAnsi="Arial"/>
                <w:sz w:val="20"/>
                <w:lang w:val="es-CL" w:eastAsia="es-CL" w:bidi="es-CL"/>
              </w:rPr>
              <w:t>P9-002, permeado fuera de especificación</w:t>
            </w:r>
          </w:p>
        </w:tc>
        <w:tc>
          <w:tcPr>
            <w:tcW w:type="dxa" w:w="3312"/>
          </w:tcPr>
          <w:p>
            <w:r>
              <w:rPr>
                <w:rFonts w:ascii="Arial" w:hAnsi="Arial"/>
                <w:sz w:val="20"/>
                <w:lang w:val="es-CL" w:eastAsia="es-CL" w:bidi="es-CL"/>
              </w:rPr>
              <w:t>+8,593</w:t>
            </w:r>
          </w:p>
        </w:tc>
        <w:tc>
          <w:tcPr>
            <w:tcW w:type="dxa" w:w="3312"/>
          </w:tcPr>
          <w:p>
            <w:r>
              <w:rPr>
                <w:rFonts w:ascii="Arial" w:hAnsi="Arial"/>
                <w:sz w:val="20"/>
                <w:lang w:val="es-CL" w:eastAsia="es-CL" w:bidi="es-CL"/>
              </w:rPr>
              <w:t>+8,850</w:t>
            </w:r>
          </w:p>
        </w:tc>
      </w:tr>
      <w:tr>
        <w:tc>
          <w:tcPr>
            <w:tcW w:type="dxa" w:w="3312"/>
          </w:tcPr>
          <w:p>
            <w:r>
              <w:rPr>
                <w:rFonts w:ascii="Arial" w:hAnsi="Arial"/>
                <w:sz w:val="20"/>
                <w:lang w:val="es-CL" w:eastAsia="es-CL" w:bidi="es-CL"/>
              </w:rPr>
              <w:t>P9-003, salida de salmuera de rechazo</w:t>
            </w:r>
          </w:p>
        </w:tc>
        <w:tc>
          <w:tcPr>
            <w:tcW w:type="dxa" w:w="3312"/>
          </w:tcPr>
          <w:p>
            <w:r>
              <w:rPr>
                <w:rFonts w:ascii="Arial" w:hAnsi="Arial"/>
                <w:sz w:val="20"/>
                <w:lang w:val="es-CL" w:eastAsia="es-CL" w:bidi="es-CL"/>
              </w:rPr>
              <w:t>+8,583</w:t>
            </w:r>
          </w:p>
        </w:tc>
        <w:tc>
          <w:tcPr>
            <w:tcW w:type="dxa" w:w="3312"/>
          </w:tcPr>
          <w:p>
            <w:r>
              <w:rPr>
                <w:rFonts w:ascii="Arial" w:hAnsi="Arial"/>
                <w:sz w:val="20"/>
                <w:lang w:val="es-CL" w:eastAsia="es-CL" w:bidi="es-CL"/>
              </w:rPr>
              <w:t>+8,850</w:t>
            </w:r>
          </w:p>
        </w:tc>
      </w:tr>
    </w:tbl>
    <w:p/>
    <w:p>
      <w:r>
        <w:rPr>
          <w:rFonts w:ascii="Arial" w:hAnsi="Arial"/>
          <w:b w:val="0"/>
          <w:sz w:val="22"/>
          <w:lang w:val="es-CL" w:eastAsia="es-CL" w:bidi="es-CL"/>
        </w:rPr>
        <w:t>En el Capítulo 4 del Formato de Licitación cambian dos cantidades. La fundación del sistema CIP baja de 7,36 a 5,80 metros cúbicos de hormigón G25, porque la ingeniería redujo la fundación de los equipos e incorporó una junta de dilatación entre elementos. La excavación baja de 115,1 a 111,7 metros cúbicos. Las otras doce partidas del capítulo mantienen su cantidad, y el Capítulo 1 no cambia: las líneas se siguen cotizando de forma global y los soportes por unidad.</w:t>
      </w:r>
    </w:p>
    <w:p/>
    <w:p>
      <w:r>
        <w:rPr>
          <w:rFonts w:ascii="Arial" w:hAnsi="Arial"/>
          <w:b/>
          <w:sz w:val="22"/>
          <w:lang w:val="es-CL" w:eastAsia="es-CL" w:bidi="es-CL"/>
        </w:rPr>
        <w:t>Lo que se agrega al paquete</w:t>
      </w:r>
    </w:p>
    <w:p>
      <w:r>
        <w:rPr>
          <w:rFonts w:ascii="Arial" w:hAnsi="Arial"/>
          <w:b w:val="0"/>
          <w:sz w:val="22"/>
          <w:lang w:val="es-CL" w:eastAsia="es-CL" w:bidi="es-CL"/>
        </w:rPr>
        <w:t>El dossier de ingeniería de detalle mecánica se entrega completo. Se incorporan el Cuadernillo de Soportes, que es el Anexo A3 de las Bases, el Cuadernillo de Isometrías con sus once isometrías en treinta y una hojas, el diagrama de flujo, los cuatro diagramas de proceso e instrumentación y seis planos de cañerías y de ubicación de soportes. Son los documentos con los que las Bases piden cotizar por isometría y no acompañaban a la revisión anterior.</w:t>
      </w:r>
    </w:p>
    <w:p/>
    <w:p>
      <w:r>
        <w:rPr>
          <w:rFonts w:ascii="Arial" w:hAnsi="Arial"/>
          <w:b/>
          <w:sz w:val="22"/>
          <w:lang w:val="es-CL" w:eastAsia="es-CL" w:bidi="es-CL"/>
        </w:rPr>
        <w:t>El Formato de Licitación se reemplaza</w:t>
      </w:r>
    </w:p>
    <w:p>
      <w:r>
        <w:rPr>
          <w:rFonts w:ascii="Arial" w:hAnsi="Arial"/>
          <w:b w:val="0"/>
          <w:sz w:val="22"/>
          <w:lang w:val="es-CL" w:eastAsia="es-CL" w:bidi="es-CL"/>
        </w:rPr>
        <w:t>La planilla de oferta económica se entrega nuevamente, con la columna de precio unitario en blanco y las fórmulas de total, costo directo, gastos generales, utilidades y total general activas. Los valores son netos y la planilla no incorpora el impuesto al valor agregado. Las ofertas deben presentarse sobre esta planilla y no sobre la que acompañó a la revisión anterior.</w:t>
      </w:r>
    </w:p>
    <w:p/>
    <w:p>
      <w:r>
        <w:rPr>
          <w:rFonts w:ascii="Arial" w:hAnsi="Arial"/>
          <w:b/>
          <w:sz w:val="22"/>
          <w:lang w:val="es-CL" w:eastAsia="es-CL" w:bidi="es-CL"/>
        </w:rPr>
        <w:t>Cómo leer los cambios</w:t>
      </w:r>
    </w:p>
    <w:p>
      <w:r>
        <w:rPr>
          <w:rFonts w:ascii="Arial" w:hAnsi="Arial"/>
          <w:b w:val="0"/>
          <w:sz w:val="22"/>
          <w:lang w:val="es-CL" w:eastAsia="es-CL" w:bidi="es-CL"/>
        </w:rPr>
        <w:t>El paquete incorpora una carpeta nueva, 0. CONTROL DE CAMBIOS, con la planilla P22-LI-06-000-002-1. Sus cinco hojas indican, documento por documento, qué cambió de revisión, qué cambió dentro de cada documento, si el cambio afecta a la cotización y a qué partida del Formato afecta. Es el punto de entrada recomendado para revisar esta revisión.</w:t>
      </w:r>
    </w:p>
    <w:p/>
    <w:p>
      <w:r>
        <w:rPr>
          <w:rFonts w:ascii="Arial" w:hAnsi="Arial"/>
          <w:b/>
          <w:sz w:val="22"/>
          <w:lang w:val="es-CL" w:eastAsia="es-CL" w:bidi="es-CL"/>
        </w:rPr>
        <w:t>Plazo de presentación de ofertas</w:t>
      </w:r>
    </w:p>
    <w:p>
      <w:r>
        <w:rPr>
          <w:rFonts w:ascii="Arial" w:hAnsi="Arial"/>
          <w:b w:val="0"/>
          <w:sz w:val="22"/>
          <w:lang w:val="es-CL" w:eastAsia="es-CL" w:bidi="es-CL"/>
        </w:rPr>
        <w:t>[COMPLETAR: confirmar si el plazo de presentación de ofertas se mantiene o se extiende, y la fecha.]</w:t>
      </w:r>
    </w:p>
    <w:p/>
    <w:p>
      <w:r>
        <w:rPr>
          <w:rFonts w:ascii="Arial" w:hAnsi="Arial"/>
          <w:b w:val="0"/>
          <w:sz w:val="22"/>
          <w:lang w:val="es-CL" w:eastAsia="es-CL" w:bidi="es-CL"/>
        </w:rPr>
        <w:t>Las consultas sobre esta aclaración se reciben por esta misma vía. Quedamos atentos.</w:t>
      </w:r>
    </w:p>
    <w:p/>
    <w:p>
      <w:r>
        <w:rPr>
          <w:rFonts w:ascii="Arial" w:hAnsi="Arial"/>
          <w:b w:val="0"/>
          <w:sz w:val="22"/>
          <w:lang w:val="es-CL" w:eastAsia="es-CL" w:bidi="es-CL"/>
        </w:rPr>
        <w:t>Saludos cordiales,</w:t>
      </w:r>
    </w:p>
    <w:p/>
    <w:p>
      <w:r>
        <w:rPr>
          <w:rFonts w:ascii="Arial" w:hAnsi="Arial"/>
          <w:b w:val="0"/>
          <w:sz w:val="22"/>
          <w:lang w:val="es-CL" w:eastAsia="es-CL" w:bidi="es-CL"/>
        </w:rPr>
        <w:t>Luis Rivera</w:t>
      </w:r>
    </w:p>
    <w:p>
      <w:r>
        <w:rPr>
          <w:rFonts w:ascii="Arial" w:hAnsi="Arial"/>
          <w:b w:val="0"/>
          <w:sz w:val="22"/>
          <w:lang w:val="es-CL" w:eastAsia="es-CL" w:bidi="es-CL"/>
        </w:rPr>
        <w:t>Dirección de Ingeniería y Obras</w:t>
      </w:r>
    </w:p>
    <w:p>
      <w:r>
        <w:rPr>
          <w:rFonts w:ascii="Arial" w:hAnsi="Arial"/>
          <w:b w:val="0"/>
          <w:sz w:val="22"/>
          <w:lang w:val="es-CL" w:eastAsia="es-CL" w:bidi="es-CL"/>
        </w:rPr>
        <w:t>Aguas Antofagasta S.A. — Grupo EPM</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lang w:val="es-CL" w:eastAsia="es-CL" w:bidi="es-C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Rivera Gonzalez</dc:creator>
  <cp:keywords/>
  <dc:description>Aclaracion N1 de la licitacion de montaje, revision 1 del paquete</dc:description>
  <cp:lastModifiedBy/>
  <cp:revision>1</cp:revision>
  <dcterms:created xsi:type="dcterms:W3CDTF">2013-12-23T23:15:00Z</dcterms:created>
  <dcterms:modified xsi:type="dcterms:W3CDTF">2013-12-23T23:15:00Z</dcterms:modified>
  <cp:category/>
</cp:coreProperties>
</file>