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60"/>
      </w:pPr>
      <w:r>
        <w:rPr>
          <w:rFonts w:ascii="Aptos" w:hAnsi="Aptos"/>
          <w:b/>
          <w:color w:val="1F2937"/>
          <w:sz w:val="44"/>
        </w:rPr>
        <w:t>Carter Demo Context</w:t>
      </w:r>
    </w:p>
    <w:p>
      <w:pPr>
        <w:spacing w:after="280"/>
      </w:pPr>
      <w:r>
        <w:rPr>
          <w:rFonts w:ascii="Aptos" w:hAnsi="Aptos"/>
          <w:i/>
          <w:color w:val="64748B"/>
          <w:sz w:val="21"/>
        </w:rPr>
        <w:t>Speaker roles and reaction notation for the live meeting demo.</w:t>
      </w:r>
    </w:p>
    <w:p>
      <w:pPr>
        <w:spacing w:after="120" w:before="140"/>
      </w:pPr>
      <w:r>
        <w:rPr>
          <w:rFonts w:ascii="Aptos" w:hAnsi="Aptos"/>
          <w:b/>
          <w:color w:val="1F2937"/>
          <w:sz w:val="28"/>
        </w:rPr>
        <w:t>Interpretation rules</w:t>
      </w:r>
    </w:p>
    <w:tbl>
      <w:tblPr>
        <w:tblW w:type="dxa" w:w="830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6000"/>
      </w:tblGrid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736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Speaker / notation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736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How the demo must interpret it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CFO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Human speaker. Treat every CFO line as human meeting dialogue.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TOM / Tom (analyst)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Human speaker. Tom is the analyst participating in the meeting.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MEI / Mei (FP&amp;A)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Human speaker. Mei is the FP&amp;A participant in the meeting.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CARTER / Carter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AI agent. Carter listens to queries and the ongoing conversation, then provides the AI responses.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 ... ]</w:t>
            </w:r>
          </w:p>
        </w:tc>
        <w:tc>
          <w:tcPr>
            <w:tcW w:type="dxa" w:w="6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Carter AI reaction or action annotation. It is never a human utterance.</w:t>
            </w:r>
          </w:p>
        </w:tc>
      </w:tr>
    </w:tbl>
    <w:p>
      <w:pPr>
        <w:keepNext/>
        <w:spacing w:after="80" w:before="140"/>
      </w:pPr>
      <w:r>
        <w:rPr>
          <w:rFonts w:ascii="Aptos" w:hAnsi="Aptos"/>
          <w:b/>
          <w:color w:val="1F2937"/>
          <w:sz w:val="23"/>
        </w:rPr>
        <w:t>Parsing rules</w:t>
      </w:r>
    </w:p>
    <w:p>
      <w:pPr>
        <w:spacing w:after="60"/>
        <w:ind w:left="288" w:hanging="216"/>
      </w:pPr>
      <w:r>
        <w:rPr>
          <w:rFonts w:ascii="Aptos" w:hAnsi="Aptos"/>
          <w:sz w:val="22"/>
        </w:rPr>
        <w:t>- A blank speaker cell followed by bracketed text still belongs to Carter, not to the preceding human speaker.</w:t>
      </w:r>
    </w:p>
    <w:p>
      <w:pPr>
        <w:spacing w:after="60"/>
        <w:ind w:left="288" w:hanging="216"/>
      </w:pPr>
      <w:r>
        <w:rPr>
          <w:rFonts w:ascii="Aptos" w:hAnsi="Aptos"/>
          <w:sz w:val="22"/>
        </w:rPr>
        <w:t>- When a Carter line begins with a bracketed action, such as [Interrupts], the bracketed text is Carter's reaction and the remaining sentence is Carter's spoken response.</w:t>
      </w:r>
    </w:p>
    <w:p>
      <w:pPr>
        <w:spacing w:after="60"/>
        <w:ind w:left="288" w:hanging="216"/>
      </w:pPr>
      <w:r>
        <w:rPr>
          <w:rFonts w:ascii="Aptos" w:hAnsi="Aptos"/>
          <w:sz w:val="22"/>
        </w:rPr>
        <w:t>- CFO, Tom, and Mei remain human speakers even when they ask questions, express uncertainty, or assign follow-up work.</w:t>
      </w:r>
    </w:p>
    <w:p>
      <w:pPr>
        <w:spacing w:after="60"/>
        <w:ind w:left="288" w:hanging="216"/>
      </w:pPr>
      <w:r>
        <w:rPr>
          <w:rFonts w:ascii="Aptos" w:hAnsi="Aptos"/>
          <w:sz w:val="22"/>
        </w:rPr>
        <w:t>- Carter may respond to a direct query or react to the conversation, but Carter must not be represented as a human participant.</w:t>
      </w:r>
    </w:p>
    <w:p>
      <w:pPr>
        <w:spacing w:after="120" w:before="140"/>
      </w:pPr>
      <w:r>
        <w:rPr>
          <w:rFonts w:ascii="Aptos" w:hAnsi="Aptos"/>
          <w:b/>
          <w:color w:val="1F2937"/>
          <w:sz w:val="28"/>
        </w:rPr>
        <w:t>Demo transcript</w:t>
      </w:r>
    </w:p>
    <w:p>
      <w:pPr>
        <w:keepNext/>
        <w:spacing w:after="80" w:before="140"/>
      </w:pPr>
      <w:r>
        <w:rPr>
          <w:rFonts w:ascii="Aptos Display" w:hAnsi="Aptos Display"/>
          <w:b/>
          <w:sz w:val="26"/>
        </w:rPr>
        <w:t>Scenario 1 - CAC increase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8"/>
        <w:gridCol w:w="7732"/>
      </w:tblGrid>
      <w:tr w:rsidR="000D7BD7" w14:paraId="453AE0BD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23AFF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E088D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I'm in the July plan. CAC is up 8% month on month, to $200 a customer. Why?</w:t>
            </w:r>
          </w:p>
        </w:tc>
      </w:tr>
      <w:tr w:rsidR="000D7BD7" w14:paraId="31AA74C7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C927D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TOM (analyst)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CD1D4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I don't know. I'd have to pull the channel breakdown.</w:t>
            </w:r>
          </w:p>
        </w:tc>
      </w:tr>
      <w:tr w:rsidR="000D7BD7" w14:paraId="1D759081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ECA0F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AA480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Carter — why is CAC up 8%?</w:t>
            </w:r>
          </w:p>
        </w:tc>
      </w:tr>
      <w:tr w:rsidR="000D7BD7" w14:paraId="3238C143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5BB6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CARTER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C2D76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Pulling the channel data now.</w:t>
            </w:r>
          </w:p>
        </w:tc>
      </w:tr>
      <w:tr w:rsidR="000D7BD7" w14:paraId="31BA6457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B066C" w14:textId="77777777" w:rsidR="000D7BD7" w:rsidRDefault="000D7BD7" w:rsidP="0000348A"/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24A55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[ real query pause — 3 to 4 seconds. Do not edit it out. ]</w:t>
            </w:r>
          </w:p>
        </w:tc>
      </w:tr>
      <w:tr w:rsidR="000D7BD7" w14:paraId="1BB4200B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81FB1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CARTER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4AB16" w14:textId="77777777" w:rsidR="000D7BD7" w:rsidRDefault="000D7BD7" w:rsidP="0000348A">
            <w:proofErr w:type="spellStart"/>
            <w:r>
              <w:rPr>
                <w:rFonts w:eastAsia="Calibri"/>
                <w:color w:val="000000"/>
                <w:sz w:val="17"/>
                <w:szCs w:val="17"/>
              </w:rPr>
              <w:t>ByteDance</w:t>
            </w:r>
            <w:proofErr w:type="spellEnd"/>
            <w:r>
              <w:rPr>
                <w:rFonts w:eastAsia="Calibri"/>
                <w:color w:val="000000"/>
                <w:sz w:val="17"/>
                <w:szCs w:val="17"/>
              </w:rPr>
              <w:t xml:space="preserve"> cost per acquisition rose 20% — $166 to $200. </w:t>
            </w:r>
            <w:proofErr w:type="spellStart"/>
            <w:r>
              <w:rPr>
                <w:rFonts w:eastAsia="Calibri"/>
                <w:color w:val="000000"/>
                <w:sz w:val="17"/>
                <w:szCs w:val="17"/>
              </w:rPr>
              <w:t>ByteDance</w:t>
            </w:r>
            <w:proofErr w:type="spellEnd"/>
            <w:r>
              <w:rPr>
                <w:rFonts w:eastAsia="Calibri"/>
                <w:color w:val="000000"/>
                <w:sz w:val="17"/>
                <w:szCs w:val="17"/>
              </w:rPr>
              <w:t xml:space="preserve"> is 40% of your paid volume, so that's 6.8 of the 8 points on its own. The rest is mix. Source: marketing spend table, refreshed 6am today.</w:t>
            </w:r>
          </w:p>
        </w:tc>
      </w:tr>
      <w:tr w:rsidR="000D7BD7" w14:paraId="1AAA2834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E108C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DC0CC" w14:textId="77777777" w:rsidR="000D7BD7" w:rsidRDefault="000D7BD7" w:rsidP="0000348A">
            <w:proofErr w:type="gramStart"/>
            <w:r>
              <w:rPr>
                <w:rFonts w:eastAsia="Calibri"/>
                <w:color w:val="000000"/>
                <w:sz w:val="17"/>
                <w:szCs w:val="17"/>
              </w:rPr>
              <w:t>So</w:t>
            </w:r>
            <w:proofErr w:type="gramEnd"/>
            <w:r>
              <w:rPr>
                <w:rFonts w:eastAsia="Calibri"/>
                <w:color w:val="000000"/>
                <w:sz w:val="17"/>
                <w:szCs w:val="17"/>
              </w:rPr>
              <w:t xml:space="preserve"> it's </w:t>
            </w:r>
            <w:proofErr w:type="spellStart"/>
            <w:r>
              <w:rPr>
                <w:rFonts w:eastAsia="Calibri"/>
                <w:color w:val="000000"/>
                <w:sz w:val="17"/>
                <w:szCs w:val="17"/>
              </w:rPr>
              <w:t>ByteDance</w:t>
            </w:r>
            <w:proofErr w:type="spellEnd"/>
            <w:r>
              <w:rPr>
                <w:rFonts w:eastAsia="Calibri"/>
                <w:color w:val="000000"/>
                <w:sz w:val="17"/>
                <w:szCs w:val="17"/>
              </w:rPr>
              <w:t>. Again.</w:t>
            </w:r>
          </w:p>
        </w:tc>
      </w:tr>
    </w:tbl>
    <w:p w14:paraId="537CDA66" w14:textId="30985642" w:rsidR="00813BD9" w:rsidRDefault="00813BD9"/>
    <w:p>
      <w:pPr>
        <w:keepNext/>
        <w:spacing w:before="180" w:after="80"/>
      </w:pPr>
      <w:r>
        <w:rPr>
          <w:rFonts w:ascii="Aptos Display" w:hAnsi="Aptos Display"/>
          <w:b/>
          <w:sz w:val="26"/>
        </w:rPr>
        <w:t>Scenario 2 - Large claims pattern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8"/>
        <w:gridCol w:w="7732"/>
      </w:tblGrid>
      <w:tr w:rsidR="000D7BD7" w14:paraId="2260D09F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3A464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65112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Different question. 3 claims around $300,000 in July. Has that ever happened?</w:t>
            </w:r>
          </w:p>
        </w:tc>
      </w:tr>
      <w:tr w:rsidR="000D7BD7" w14:paraId="59AE7443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01643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MEI (FP&amp;A)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2F284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I'm not sure. I'd have to ask claims but I don’t think so.</w:t>
            </w:r>
          </w:p>
        </w:tc>
      </w:tr>
      <w:tr w:rsidR="000D7BD7" w14:paraId="24832EE6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F2507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C4C98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Are you sure? I thought this may have happened a few years ago</w:t>
            </w:r>
          </w:p>
        </w:tc>
      </w:tr>
      <w:tr w:rsidR="000D7BD7" w:rsidRPr="00A03187" w14:paraId="2C76EE92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AF290" w14:textId="77777777" w:rsidR="000D7BD7" w:rsidRPr="00A03187" w:rsidRDefault="000D7BD7" w:rsidP="0000348A">
            <w:pP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M</w:t>
            </w:r>
            <w:r>
              <w:rPr>
                <w:color w:val="000000"/>
                <w:sz w:val="17"/>
                <w:szCs w:val="17"/>
              </w:rPr>
              <w:t>EI (FP&amp;A)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86351" w14:textId="77777777" w:rsidR="000D7BD7" w:rsidRPr="00A03187" w:rsidRDefault="000D7BD7" w:rsidP="0000348A">
            <w:pP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I</w:t>
            </w:r>
            <w:r>
              <w:rPr>
                <w:color w:val="000000"/>
                <w:sz w:val="17"/>
                <w:szCs w:val="17"/>
              </w:rPr>
              <w:t xml:space="preserve"> really don’t think so but I can check</w:t>
            </w:r>
          </w:p>
        </w:tc>
      </w:tr>
      <w:tr w:rsidR="000D7BD7" w14:paraId="2CB95185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B3034" w14:textId="77777777" w:rsidR="000D7BD7" w:rsidRDefault="000D7BD7" w:rsidP="0000348A"/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51A92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[Carter noticing Argument – Activated]</w:t>
            </w:r>
          </w:p>
        </w:tc>
      </w:tr>
      <w:tr w:rsidR="000D7BD7" w14:paraId="37131726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9262B" w14:textId="77777777" w:rsidR="000D7BD7" w:rsidRDefault="000D7BD7" w:rsidP="0000348A">
            <w:pPr>
              <w:rPr>
                <w:rFonts w:eastAsia="Calibri"/>
                <w:color w:val="000000"/>
                <w:sz w:val="17"/>
                <w:szCs w:val="17"/>
              </w:rPr>
            </w:pP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2B12" w14:textId="77777777" w:rsidR="000D7BD7" w:rsidRDefault="000D7BD7" w:rsidP="0000348A">
            <w:pPr>
              <w:rPr>
                <w:rFonts w:eastAsia="Calibri"/>
                <w:color w:val="000000"/>
                <w:sz w:val="17"/>
                <w:szCs w:val="17"/>
              </w:rPr>
            </w:pPr>
            <w:r>
              <w:rPr>
                <w:rFonts w:eastAsia="Calibri"/>
                <w:color w:val="000000"/>
                <w:sz w:val="17"/>
                <w:szCs w:val="17"/>
              </w:rPr>
              <w:t>[Joining claims to policy cohort]</w:t>
            </w:r>
          </w:p>
        </w:tc>
      </w:tr>
      <w:tr w:rsidR="000D7BD7" w14:paraId="35E745D3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BDCD3" w14:textId="77777777" w:rsidR="000D7BD7" w:rsidRDefault="000D7BD7" w:rsidP="0000348A"/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38A8E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 xml:space="preserve">[ real query pause — 4 </w:t>
            </w:r>
            <w:proofErr w:type="gramStart"/>
            <w:r>
              <w:rPr>
                <w:rFonts w:eastAsia="Calibri"/>
                <w:color w:val="000000"/>
                <w:sz w:val="17"/>
                <w:szCs w:val="17"/>
              </w:rPr>
              <w:t>seconds ]</w:t>
            </w:r>
            <w:proofErr w:type="gramEnd"/>
          </w:p>
        </w:tc>
      </w:tr>
      <w:tr w:rsidR="000D7BD7" w14:paraId="28BFBB38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E7A23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CARTER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32F6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 xml:space="preserve">[Interrupts] Not 3 at that size. Closest was October 2023 — two claims over $400,000, both critical illness policies written in 2022, when critical illness was 20% more of your new business mix. </w:t>
            </w:r>
            <w:proofErr w:type="gramStart"/>
            <w:r>
              <w:rPr>
                <w:rFonts w:eastAsia="Calibri"/>
                <w:color w:val="000000"/>
                <w:sz w:val="17"/>
                <w:szCs w:val="17"/>
              </w:rPr>
              <w:t>July's</w:t>
            </w:r>
            <w:proofErr w:type="gramEnd"/>
            <w:r>
              <w:rPr>
                <w:rFonts w:eastAsia="Calibri"/>
                <w:color w:val="000000"/>
                <w:sz w:val="17"/>
                <w:szCs w:val="17"/>
              </w:rPr>
              <w:t xml:space="preserve"> 3 are the same product line.</w:t>
            </w:r>
          </w:p>
        </w:tc>
      </w:tr>
      <w:tr w:rsidR="000D7BD7" w14:paraId="1C6A32D6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E217E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7C9EC" w14:textId="77777777" w:rsidR="000D7BD7" w:rsidRDefault="000D7BD7" w:rsidP="0000348A">
            <w:proofErr w:type="gramStart"/>
            <w:r>
              <w:rPr>
                <w:rFonts w:eastAsia="Calibri"/>
                <w:color w:val="000000"/>
                <w:sz w:val="17"/>
                <w:szCs w:val="17"/>
              </w:rPr>
              <w:t>So</w:t>
            </w:r>
            <w:proofErr w:type="gramEnd"/>
            <w:r>
              <w:rPr>
                <w:rFonts w:eastAsia="Calibri"/>
                <w:color w:val="000000"/>
                <w:sz w:val="17"/>
                <w:szCs w:val="17"/>
              </w:rPr>
              <w:t xml:space="preserve"> it's the 2022 book maturing. Not something new. </w:t>
            </w:r>
          </w:p>
        </w:tc>
      </w:tr>
      <w:tr w:rsidR="000D7BD7" w14:paraId="07FB881E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F5E3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CARTER</w:t>
            </w:r>
          </w:p>
        </w:tc>
        <w:tc>
          <w:tcPr>
            <w:tcW w:w="711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1DD82" w14:textId="77777777" w:rsidR="000D7BD7" w:rsidRDefault="000D7BD7" w:rsidP="0000348A">
            <w:r>
              <w:rPr>
                <w:rFonts w:eastAsia="Calibri"/>
                <w:color w:val="000000"/>
                <w:sz w:val="17"/>
                <w:szCs w:val="17"/>
              </w:rPr>
              <w:t>That's consistent with what I can see. What I can't tell you is whether underwriting standards changed in 2022. That isn't in any system I'm connected to — you'd need the underwriting committee minutes, and I don't have access.</w:t>
            </w:r>
          </w:p>
        </w:tc>
      </w:tr>
      <w:tr w:rsidR="000D7BD7" w:rsidRPr="00235E7C" w14:paraId="5F3FCE85" w14:textId="77777777" w:rsidTr="0000348A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189BD" w14:textId="77777777" w:rsidR="000D7BD7" w:rsidRPr="00235E7C" w:rsidRDefault="000D7BD7" w:rsidP="0000348A">
            <w:pPr>
              <w:rPr>
                <w:b/>
                <w:bCs/>
              </w:rPr>
            </w:pPr>
            <w:r w:rsidRPr="00235E7C">
              <w:rPr>
                <w:rFonts w:eastAsia="Calibri"/>
                <w:b/>
                <w:bCs/>
                <w:color w:val="000000"/>
                <w:sz w:val="17"/>
                <w:szCs w:val="17"/>
              </w:rPr>
              <w:t>CFO</w:t>
            </w:r>
          </w:p>
        </w:tc>
        <w:tc>
          <w:tcPr>
            <w:tcW w:w="71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0341" w14:textId="77777777" w:rsidR="000D7BD7" w:rsidRPr="00235E7C" w:rsidRDefault="000D7BD7" w:rsidP="0000348A">
            <w:pPr>
              <w:rPr>
                <w:b/>
                <w:bCs/>
              </w:rPr>
            </w:pPr>
            <w:r w:rsidRPr="00235E7C">
              <w:rPr>
                <w:rFonts w:eastAsia="Calibri"/>
                <w:b/>
                <w:bCs/>
                <w:color w:val="000000"/>
                <w:sz w:val="17"/>
                <w:szCs w:val="17"/>
              </w:rPr>
              <w:t>Fair. 1 named question, 1 owner. Not another meeting.</w:t>
            </w:r>
          </w:p>
        </w:tc>
      </w:tr>
    </w:tbl>
    <w:p w14:paraId="5F31DEF7" w14:textId="77777777" w:rsidR="000D7BD7" w:rsidRPr="000D7BD7" w:rsidRDefault="000D7BD7">
      <w:pPr>
        <w:rPr>
          <w:rFonts w:hint="eastAsia"/>
        </w:rPr>
      </w:pPr>
    </w:p>
    <w:sectPr w:rsidR="000D7BD7" w:rsidRPr="000D7BD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D7"/>
    <w:rsid w:val="000D7BD7"/>
    <w:rsid w:val="002E0336"/>
    <w:rsid w:val="008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4257"/>
  <w15:chartTrackingRefBased/>
  <w15:docId w15:val="{BD79B679-E5CE-4BD1-AB76-84AF52E3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BD7"/>
    <w:pPr>
      <w:widowControl w:val="0"/>
      <w:jc w:val="both"/>
    </w:pPr>
    <w:rPr>
      <w:rFonts w:ascii="Calibri" w:hAnsi="Calibri" w:cs="Calibri"/>
      <w:kern w:val="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Carter Demo Context</dc:title>
  <dc:subject>Speaker roles, AI reaction notation, and demo transcript context</dc:subject>
  <dc:creator>YBBJ100572</dc:creator>
  <cp:keywords/>
  <dc:description>CFO, Tom, and Mei are human speakers. Carter is the AI agent. Square-bracketed text records Carter reactions or actions.</dc:description>
  <cp:lastModifiedBy>YBBJ100572</cp:lastModifiedBy>
  <cp:revision>2</cp:revision>
  <dcterms:created xsi:type="dcterms:W3CDTF">2026-08-02T00:12:00Z</dcterms:created>
  <dcterms:modified xsi:type="dcterms:W3CDTF">2026-08-02T00:12:00Z</dcterms:modified>
</cp:coreProperties>
</file>