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color w:val="005EB8"/>
          <w:sz w:val="48"/>
          <w:szCs w:val="48"/>
        </w:rPr>
        <w:t xml:space="preserve">NHS ICT HR Policy Assistant</w:t>
      </w:r>
    </w:p>
    <w:p>
      <w:pPr>
        <w:spacing w:after="240"/>
        <w:jc w:val="center"/>
      </w:pPr>
      <w:r>
        <w:rPr>
          <w:color w:val="003087"/>
          <w:sz w:val="36"/>
          <w:szCs w:val="36"/>
        </w:rPr>
        <w:t xml:space="preserve">Comprehensive Technical Documentation</w:t>
      </w:r>
    </w:p>
    <w:p>
      <w:pPr>
        <w:spacing w:after="1440"/>
        <w:jc w:val="center"/>
      </w:pPr>
      <w:r>
        <w:rPr>
          <w:sz w:val="28"/>
          <w:szCs w:val="28"/>
        </w:rPr>
        <w:t xml:space="preserve">AI-Powered RAG System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Author: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David Sewoke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1.0 POC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5EB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5EB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2026-03-17T22:54:33.165Z</dcterms:created>
  <dcterms:modified xsi:type="dcterms:W3CDTF">2026-03-17T22:54:33.165Z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