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曙光智造园区访问与数据策略</w:t>
      </w:r>
    </w:p>
    <w:p>
      <w:r>
        <w:rPr>
          <w:sz w:val="22"/>
        </w:rPr>
        <w:t xml:space="preserve">文档版本：3.1；生效日期：2026-08-05。本文件全部内容均为虚构测试数据。</w:t>
      </w:r>
    </w:p>
    <w:p>
      <w:r>
        <w:rPr>
          <w:b/>
          <w:sz w:val="26"/>
        </w:rPr>
        <w:t xml:space="preserve">角色权限</w:t>
      </w:r>
    </w:p>
    <w:p>
      <w:r>
        <w:rPr>
          <w:sz w:val="22"/>
        </w:rPr>
        <w:t xml:space="preserve">Operator 可以查看实时状态并创建工单，但不能修改告警阈值。</w:t>
      </w:r>
    </w:p>
    <w:p>
      <w:r>
        <w:rPr>
          <w:sz w:val="22"/>
        </w:rPr>
        <w:t xml:space="preserve">Engineer 可以在已批准的维护窗口内修改设备配置。</w:t>
      </w:r>
    </w:p>
    <w:p>
      <w:r>
        <w:rPr>
          <w:sz w:val="22"/>
        </w:rPr>
        <w:t xml:space="preserve">Auditor 只有只读权限，可以导出最近 90 天的审计记录。</w:t>
      </w:r>
    </w:p>
    <w:p>
      <w:r>
        <w:rPr>
          <w:b/>
          <w:sz w:val="26"/>
        </w:rPr>
        <w:t xml:space="preserve">数据保留</w:t>
      </w:r>
    </w:p>
    <w:p>
      <w:r>
        <w:rPr>
          <w:sz w:val="22"/>
        </w:rPr>
        <w:t xml:space="preserve">原始传感器数据保留 30 天，小时聚合数据保留 18 个月，审计日志保留 365 天。</w:t>
      </w:r>
    </w:p>
    <w:p>
      <w:r>
        <w:rPr>
          <w:b/>
          <w:sz w:val="26"/>
        </w:rPr>
        <w:t xml:space="preserve">导出与审批</w:t>
      </w:r>
    </w:p>
    <w:p>
      <w:r>
        <w:rPr>
          <w:sz w:val="22"/>
        </w:rPr>
        <w:t xml:space="preserve">超过 10,000 行的数据导出需要 Data Steward 和值班经理双人审批。</w:t>
      </w:r>
    </w:p>
    <w:p>
      <w:r>
        <w:rPr>
          <w:sz w:val="22"/>
        </w:rPr>
        <w:t xml:space="preserve">禁止在工单中粘贴真实密码、访问令牌或个人身份信息。</w:t>
      </w:r>
    </w:p>
    <w:p>
      <w:r>
        <w:rPr>
          <w:b/>
          <w:sz w:val="26"/>
        </w:rPr>
        <w:t xml:space="preserve">会话要求</w:t>
      </w:r>
    </w:p>
    <w:p>
      <w:r>
        <w:rPr>
          <w:sz w:val="22"/>
        </w:rPr>
        <w:t xml:space="preserve">连续 20 分钟无操作后会话自动失效。Engineer 执行配置修改前必须重新验证身份。</w:t>
      </w:r>
    </w:p>
    <w:p>
      <w:pPr>
        <w:outlineLvl w:val="0"/>
        <w:keepNext/>
      </w:pPr>
      <w:r>
        <w:rPr>
          <w:b/>
          <w:sz w:val="32"/>
          <w:szCs w:val="32"/>
        </w:rPr>
        <w:t xml:space="preserve">补充条款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数据分类与处理要求</w:t>
      </w:r>
    </w:p>
    <w:p>
      <w:r>
        <w:t xml:space="preserve">园区数据分为公开测试、内部、敏感和受限四级。公开测试数据可用于培训和评测；内部数据仅限园区授权人员使用；敏感数据包括设备配置、详细拓扑和未公开事件记录；受限数据包括真实密码、访问令牌和个人身份信息。受限数据不得进入知识库、工单正文或普通导出文件。</w:t>
      </w:r>
    </w:p>
    <w:p>
      <w:r>
        <w:t xml:space="preserve">文档上传前，责任人必须确认数据级别、保留期限和允许使用范围。无法确定级别时按更高一级保护。测试数据必须明确标注为虚构，不得使用真实人员姓名、电话号码、账号、密码或令牌。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角色权限矩阵</w:t>
      </w:r>
    </w:p>
    <w:p>
      <w:r>
        <w:t xml:space="preserve">操作员可查看实时状态、确认告警和创建工单，不得修改告警阈值、设备配置或数据保留策略。工程师可在已批准的维护窗口内修改设备配置，但操作前必须重新验证身份，并由另一名工程师复核关键变更。审计员只有只读权限，可检查权限、审批和操作证据。数据管理员负责大批量导出审批和保留策略执行，不得代替资源负责人批准设备变更。</w:t>
      </w:r>
    </w:p>
    <w:p>
      <w:r>
        <w:t xml:space="preserve">任何人不得使用他人账号执行操作，也不得为方便值班建立共享账号。发现共享账号后应立即停用，保留审计记录，并由所属团队重新申请实名权限。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临时权限与例外</w:t>
      </w:r>
    </w:p>
    <w:p>
      <w:r>
        <w:t xml:space="preserve">临时权限例外必须由资源负责人和安全管理员共同批准，申请中写明事由、资源范围、操作权限和失效时间。临时权限最长有效期为七天，到期自动失效；确需延长时必须重新审批，不得修改原申请的到期时间。</w:t>
      </w:r>
    </w:p>
    <w:p>
      <w:r>
        <w:t xml:space="preserve">紧急情况下可先为处理 P1 事件授予最小必要权限，但应记录事件编号，并在四小时内补齐审批。事件恢复后两小时内撤销紧急权限，由审计员核对实际操作是否超出范围。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认证与会话安全</w:t>
      </w:r>
    </w:p>
    <w:p>
      <w:r>
        <w:t xml:space="preserve">连续二十分钟无操作后会话自动失效。工程师执行配置修改、导出敏感数据或切换设备控制状态前必须重新验证身份。连续五次认证失败时账号锁定三十分钟，并通知安全管理员检查来源。</w:t>
      </w:r>
    </w:p>
    <w:p>
      <w:r>
        <w:t xml:space="preserve">维护终端离开受控区域后不得保持登录状态。操作完成后应主动退出，不能只关闭浏览器窗口。浏览器不得保存园区系统密码，下载的临时文件应在任务完成后按审批要求清理。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数据导出与共享</w:t>
      </w:r>
    </w:p>
    <w:p>
      <w:r>
        <w:t xml:space="preserve">超过一万行的数据导出需要数据管理员和值班经理双人审批。导出申请必须写明字段范围、时间范围、用途、接收人和到期日期。导出结果应使用最少字段，能用聚合数据满足需求时不得导出原始传感器数据。</w:t>
      </w:r>
    </w:p>
    <w:p>
      <w:r>
        <w:t xml:space="preserve">导出文件只能保存在批准的位置，不得上传到公网平台或通过个人通信工具发送。到期后由接收人删除文件并回填删除结果；涉及敏感数据时，由审计员抽查删除证据。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审计记录要求</w:t>
      </w:r>
    </w:p>
    <w:p>
      <w:r>
        <w:t xml:space="preserve">审计记录至少应包含操作人、时间、对象、动作、结果和来源地址。配置变更还应记录变更前后差异、审批单号和验证结果。审计日志保留三百六十五天，任何人不得删除、覆盖或修改原始记录。</w:t>
      </w:r>
    </w:p>
    <w:p>
      <w:r>
        <w:t xml:space="preserve">系统负责人每季度执行一次权限复核，重点检查离岗人员、长期未使用账号、临时权限和高权限角色。复核发现的不必要权限应在两个工作日内撤销，无法按时处理时必须登记例外原因和完成日期。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敏感信息事件处置</w:t>
      </w:r>
    </w:p>
    <w:p>
      <w:r>
        <w:t xml:space="preserve">发现真实密码或令牌进入工单后，应立即限制工单访问、通知安全管理员、撤销相关凭据并记录处置过程。发现个人身份信息时，应停止继续传播，确认下载和转发范围，并按数据事件流程评估影响。</w:t>
      </w:r>
    </w:p>
    <w:p>
      <w:r>
        <w:t xml:space="preserve">处置完成不代表事件关闭。安全管理员应验证旧凭据已失效、替换凭据已安全分发、缓存和导出副本已清理，并在工单中保留不含敏感值的验证结论。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策略例行检查</w:t>
      </w:r>
    </w:p>
    <w:p>
      <w:r>
        <w:t xml:space="preserve">本策略每半年复核一次，系统权限模型、数据保留期限或导出流程发生重大变化时应提前复核。策略变更发布前需完成影响分析、操作培训和历史数据处理确认。所有补充条款均为虚构评测数据，不对应真实系统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备份与恢复控制</w:t>
      </w:r>
    </w:p>
    <w:p>
      <w:r>
        <w:t xml:space="preserve">生产数据备份由数据平台组统一执行。每日增量备份保留三十天，每周完整备份保留十二周。备份文件与生产数据采用相同的数据级别和访问要求，不得因为处于备份介质而降低保护标准。</w:t>
      </w:r>
    </w:p>
    <w:p>
      <w:r>
        <w:t xml:space="preserve">每季度至少执行一次抽样恢复验证，验证内容包括文件完整性、记录数量、时间范围和关键字段。恢复验证只能写入隔离环境，不得覆盖当前生产数据。验证完成后应删除临时恢复副本并保留结果记录。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设备退役与数据处理</w:t>
      </w:r>
    </w:p>
    <w:p>
      <w:r>
        <w:t xml:space="preserve">设备退役前，资产负责人应确认未关闭工单、未完成维护任务和仍需保留的数据。设备证书、访问密钥和平台授权必须在退役当天撤销，资产编号永久保留，不得分配给新设备。</w:t>
      </w:r>
    </w:p>
    <w:p>
      <w:r>
        <w:t xml:space="preserve">退役设备中的本地缓存由授权人员清理，并由另一人复核。依法或按策略需要保留的历史数据转入归档存储，归档记录应保留原资产编号、时间范围和数据级别。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外部协作与远程支持</w:t>
      </w:r>
    </w:p>
    <w:p>
      <w:r>
        <w:t xml:space="preserve">外部支持人员不得直接获得长期账号。确需远程支持时，由内部工程师发起临时权限申请，限制目标设备和可执行操作，并全程保留会话审计。远程支持结束后立即撤销权限，不得允许外部人员自行延长。</w:t>
      </w:r>
    </w:p>
    <w:p>
      <w:r>
        <w:t xml:space="preserve">向外部人员提供日志前，应删除真实密码、令牌、个人身份信息和与问题无关的详细拓扑。无法完成脱敏时，只能由内部人员查看原始日志并转述必要结论。</w:t>
      </w:r>
    </w:p>
    <w:p>
      <w:pPr>
        <w:outlineLvl w:val="1"/>
        <w:keepNext/>
      </w:pPr>
      <w:r>
        <w:rPr>
          <w:b/>
          <w:sz w:val="28"/>
          <w:szCs w:val="28"/>
        </w:rPr>
        <w:t xml:space="preserve">数据质量责任</w:t>
      </w:r>
    </w:p>
    <w:p>
      <w:r>
        <w:t xml:space="preserve">数据产生团队负责记录的完整性，平台运行组负责传输和存储可用性，质量组负责抽样规则和异常确认。发现缺少资产编号、采集时间或质量标记的数据时，应阻止其进入正式报表，并创建数据质量任务。</w:t>
      </w:r>
    </w:p>
    <w:p>
      <w:r>
        <w:t xml:space="preserve">更正历史记录时不得覆盖原值。系统应保留更正前内容、更正后内容、原因、操作人和时间。仅修复展示格式而不改变业务含义时，也要在变更记录中说明处理范围。</w:t>
      </w:r>
    </w:p>
    <w:sectPr>
      <w:pgSz w:w="11906" w:h="16838"/>
      <w:pgMar w:top="1440" w:right="1440" w:bottom="1440" w:left="1440"/>
    </w:sectPr>
  </w:body>
</w:document>
</file>