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NMI VAR Sheet — Field-by-Field Spec (for OpenEMR import)</w:t>
      </w:r>
    </w:p>
    <w:p>
      <w:r>
        <w:t>This spec defines the fields your importer should accept to configure the clinic’s gateway profile automatically.</w:t>
      </w:r>
    </w:p>
    <w:p>
      <w:pPr>
        <w:pStyle w:val="Heading2"/>
      </w:pPr>
      <w:r>
        <w:t>Merchant &amp; Hierarchy</w:t>
      </w:r>
    </w:p>
    <w:p>
      <w:r>
        <w:t>• MID (post-underwriting) • Legal name • DBA/Descriptor • MCC • BIN/Agent/Chain/Store/Terminal • Address/Phone/Website • Time zone • Currency (840=USD)</w:t>
      </w:r>
    </w:p>
    <w:p>
      <w:pPr>
        <w:pStyle w:val="Heading2"/>
      </w:pPr>
      <w:r>
        <w:t>Gateway Credentials</w:t>
      </w:r>
    </w:p>
    <w:p>
      <w:r>
        <w:t>• NMI username or Security Key • Collect.js public key • Transact URL • Webhook/Postback URL • Allowed brands • AVS/CVV policies • 3‑D Secure/UCAF flags • Customer Vault on/off • Recurring on/off</w:t>
      </w:r>
    </w:p>
    <w:p>
      <w:pPr>
        <w:pStyle w:val="Heading2"/>
      </w:pPr>
      <w:r>
        <w:t>Settlement &amp; Funding</w:t>
      </w:r>
    </w:p>
    <w:p>
      <w:r>
        <w:t>• Cutoff time • Funding speed (Next‑Day, T+2) • Partial approvals • Tips/gratuity • FIID/ABA (if debit) • Reimbursement attribute • Cashback</w:t>
      </w:r>
    </w:p>
    <w:p>
      <w:pPr>
        <w:pStyle w:val="Heading2"/>
      </w:pPr>
      <w:r>
        <w:t>Host Capture &amp; Auto Close</w:t>
      </w:r>
    </w:p>
    <w:p>
      <w:r>
        <w:t>• Host capture participant (Y/N) • Auto close times (1–6 entries)</w:t>
      </w:r>
    </w:p>
    <w:p>
      <w:pPr>
        <w:pStyle w:val="Heading2"/>
      </w:pPr>
      <w:r>
        <w:t>JSON Example</w:t>
      </w:r>
    </w:p>
    <w:p>
      <w:r>
        <w:rPr>
          <w:rFonts w:ascii="Courier New" w:hAnsi="Courier New" w:eastAsia="Courier New"/>
          <w:sz w:val="20"/>
        </w:rPr>
        <w:t>{</w:t>
      </w:r>
      <w:r>
        <w:rPr>
          <w:rFonts w:ascii="Courier New" w:hAnsi="Courier New" w:eastAsia="Courier New"/>
          <w:sz w:val="20"/>
        </w:rPr>
        <w:br/>
        <w:t xml:space="preserve">  "merchant": {"mid":"1234567890","mcc":"8099","descriptor":"QIABEN TELEMED 8881234567 CA"},</w:t>
      </w:r>
      <w:r>
        <w:rPr>
          <w:rFonts w:ascii="Courier New" w:hAnsi="Courier New" w:eastAsia="Courier New"/>
          <w:sz w:val="20"/>
        </w:rPr>
        <w:br/>
        <w:t xml:space="preserve">  "nmi": {"security_key":"sk_live_xxx","collectjs_public_key":"pub_xxx",</w:t>
      </w:r>
      <w:r>
        <w:rPr>
          <w:rFonts w:ascii="Courier New" w:hAnsi="Courier New" w:eastAsia="Courier New"/>
          <w:sz w:val="20"/>
        </w:rPr>
        <w:br/>
        <w:t xml:space="preserve">          "transact_url":"https://secure.nmi.com/api/transact.php","webhook_url":"https://clinic/gp/nmi/webhook"},</w:t>
      </w:r>
      <w:r>
        <w:rPr>
          <w:rFonts w:ascii="Courier New" w:hAnsi="Courier New" w:eastAsia="Courier New"/>
          <w:sz w:val="20"/>
        </w:rPr>
        <w:br/>
        <w:t xml:space="preserve">  "acceptance":{"brands":{"visa":true,"mastercard":true,"amex":true,"discover":true},"entry_modes":{"card_not_present":true}},</w:t>
      </w:r>
      <w:r>
        <w:rPr>
          <w:rFonts w:ascii="Courier New" w:hAnsi="Courier New" w:eastAsia="Courier New"/>
          <w:sz w:val="20"/>
        </w:rPr>
        <w:br/>
        <w:t xml:space="preserve">  "risk":{"avs_policy":"reject_avs_nz","cvv_policy":"reject_cvv_n","three_ds":true},</w:t>
      </w:r>
      <w:r>
        <w:rPr>
          <w:rFonts w:ascii="Courier New" w:hAnsi="Courier New" w:eastAsia="Courier New"/>
          <w:sz w:val="20"/>
        </w:rPr>
        <w:br/>
        <w:t xml:space="preserve">  "settlement":{"cutoff":"23:00","funding":"next_day"}</w:t>
      </w:r>
      <w:r>
        <w:rPr>
          <w:rFonts w:ascii="Courier New" w:hAnsi="Courier New" w:eastAsia="Courier New"/>
          <w:sz w:val="20"/>
        </w:rPr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