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Merchant Underwriting Checklist — Healthcare (Pharmacy 5912 / Telemedicine 8099)</w:t>
      </w:r>
    </w:p>
    <w:p>
      <w:r>
        <w:t>Use this to collect and validate information required to board a merchant through GreenPayment (NMI gateway).</w:t>
      </w:r>
    </w:p>
    <w:p>
      <w:pPr>
        <w:pStyle w:val="Heading2"/>
      </w:pPr>
      <w:r>
        <w:t>Business Identity</w:t>
      </w:r>
    </w:p>
    <w:p>
      <w:r>
        <w:t>• Legal name, DBA • EIN/Tax ID • Formation docs • MCC (5912/8099) • Website/Domain • Physical address &amp; phone</w:t>
      </w:r>
    </w:p>
    <w:p>
      <w:pPr>
        <w:pStyle w:val="Heading2"/>
      </w:pPr>
      <w:r>
        <w:t>Ownership / KYC (Beneficial Owners ≥25%)</w:t>
      </w:r>
    </w:p>
    <w:p>
      <w:r>
        <w:t>• Full name, title • DOB • Home address • SSN (US) • Government ID (DL/Passport) — front/back images</w:t>
      </w:r>
    </w:p>
    <w:p>
      <w:pPr>
        <w:pStyle w:val="Heading2"/>
      </w:pPr>
      <w:r>
        <w:t>Banking &amp; Funding</w:t>
      </w:r>
    </w:p>
    <w:p>
      <w:r>
        <w:t>• Routing + Account (DDA) — tokenized/stored securely • Voided check or bank letter • Settlement contact email</w:t>
      </w:r>
    </w:p>
    <w:p>
      <w:pPr>
        <w:pStyle w:val="Heading2"/>
      </w:pPr>
      <w:r>
        <w:t>Operations &amp; Risk</w:t>
      </w:r>
    </w:p>
    <w:p>
      <w:r>
        <w:t>• Product/service description (telehealth consults, Rx) • Refund/chargeback policy URL • Delivery/fulfillment timelines • Recurring billing terms • Customer service phone/email • HIPAA considerations where applicable</w:t>
      </w:r>
    </w:p>
    <w:p>
      <w:pPr>
        <w:pStyle w:val="Heading2"/>
      </w:pPr>
      <w:r>
        <w:t>Processing Profile</w:t>
      </w:r>
    </w:p>
    <w:p>
      <w:r>
        <w:t>• Monthly volume (current/expected) • Average ticket • Card-present vs card-not-present split • AmEx share • Chargeback ratio • Gateway in use today (if any)</w:t>
      </w:r>
    </w:p>
    <w:p>
      <w:pPr>
        <w:pStyle w:val="Heading2"/>
      </w:pPr>
      <w:r>
        <w:t>Documents to Upload</w:t>
      </w:r>
    </w:p>
    <w:p>
      <w:r>
        <w:t>• Two complete monthly merchant statements (PDF) • Voided check/bank letter • Formation/EIN docs • IDs for owners • Licenses (pharmacy, telemedicine where applicable)</w:t>
      </w:r>
    </w:p>
    <w:p>
      <w:pPr>
        <w:pStyle w:val="Heading2"/>
      </w:pPr>
      <w:r>
        <w:t>Security Posture (attest in onboarding)</w:t>
      </w:r>
    </w:p>
    <w:p>
      <w:r>
        <w:t>• PCI approach (Collect.js tokenization; no PAN storage) • TLS 1.2+ • PII encryption at rest • Role-based access • Webhook IP allowlist or shared secret</w:t>
      </w:r>
    </w:p>
    <w:p>
      <w:pPr>
        <w:pStyle w:val="Heading2"/>
      </w:pPr>
      <w:r>
        <w:t>Decision &amp; Provisioning</w:t>
      </w:r>
    </w:p>
    <w:p>
      <w:r>
        <w:t>After approval: MID assignment → NMI profile creation → VAR sheet generated → OpenEMR import → test transaction →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