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Radar Urbano Backend de gestão</w:t>
      </w:r>
    </w:p>
    <w:p>
      <w:pPr>
        <w:pStyle w:val="Subtitle"/>
      </w:pPr>
      <w:r>
        <w:t>Relatório de Desenvolvimento de Sistemas do Módulo 7</w:t>
      </w:r>
    </w:p>
    <w:p>
      <w:r>
        <w:t>Avaliação Integração do Backend • Erinaldo Sanches Nascimento • Outubro de 2026</w:t>
      </w:r>
    </w:p>
    <w:p>
      <w:r>
        <w:t>O Radar Urbano organiza relatos de problemas urbanos para consulta e encaminhamento pela prefeitura. Nesta avaliação, o backend evolui de cadastros simples para ocorrências relacionadas a usuários, categorias e status, devolvendo informações compreensíveis para a futura interface.</w:t>
      </w:r>
    </w:p>
    <w:p>
      <w:r>
        <w:t>O código foi executado e testado localmente: 35 testes automatizados passaram, e oito requisições HTTP foram conferidas com Uvicorn real. Os bancos usados foram SQLite temporários com chaves estrangeiras habilitadas. A conexão com o Supabase não foi executada nesta sessão; portanto os resultados abaixo não comprovam esse ambiente.</w:t>
      </w:r>
    </w:p>
    <w:p>
      <w:pPr>
        <w:pStyle w:val="Heading1"/>
      </w:pPr>
      <w:r>
        <w:t>Chaves do modelo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1944"/>
        <w:gridCol w:w="5760"/>
      </w:tblGrid>
      <w:tr>
        <w:trPr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Chave primária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Chaves estrangeiras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usuario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id_usuario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Nenhuma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categoria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id_categoria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Nenhuma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status_ocorrencia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id_status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Nenhuma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equipe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id_equipe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Nenhuma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ocorrencia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id_ocorrencia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id_usuario, id_categoria, id_status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foto_ocorrencia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id_foto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id_ocorrencia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analise_ia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id_analise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id_ocorrencia, id_categoria_sugerida, id_ocorrencia_duplicada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atendimento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id_atendimento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id_ocorrencia, id_equipe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historico_status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id_historico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id_ocorrencia, id_status, id_usuario_responsavel</w:t>
            </w:r>
          </w:p>
        </w:tc>
      </w:tr>
    </w:tbl>
    <w:p>
      <w:pPr>
        <w:spacing w:after="20"/>
      </w:pPr>
    </w:p>
    <w:p>
      <w:r>
        <w:t>A PK identifica o registro; a FK mantém a ligação entre tabelas. Categoria pode ter várias ocorrências. O banco admite id_categoria nulo para relatos ainda não classificados. A API preserva essa possibilidade e devolve categoria_nome nulo nesse caso.</w:t>
      </w:r>
    </w:p>
    <w:p>
      <w:r>
        <w:t>Equipe informada: Bernardo Guedes Ribeiro de Andrade; Erick Arthur Brandt Pimenta; Giovanna Salgueiro de Medeiros; Ana Clara Gilavert da Silva; Karolynne Oliveira Rodrigues; Kevin Lorran Faria de Andrade; Maria Vitória Martins; Larissa Batista Barbosa. Orientador informado: Giuliano.</w:t>
      </w:r>
    </w:p>
    <w:p>
      <w:r>
        <w:br w:type="page"/>
      </w:r>
    </w:p>
    <w:p>
      <w:pPr>
        <w:pStyle w:val="Heading1"/>
      </w:pPr>
      <w:r>
        <w:t>Organização e contratos da aplicação</w:t>
      </w:r>
    </w:p>
    <w:p>
      <w:r>
        <w:t>Há uma única aplicação FastAPI. A gestão usa SQLAlchemy e PostgreSQL por Psycopg; as análises usam Pandas e o CSV. Nenhuma tabela é criada automaticamente ao iniciar a API, evitando substituir a estrutura existente.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560"/>
      </w:tblGrid>
      <w:tr>
        <w:trPr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database.py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Lê DATABASE_URL, configura engine, fornece sessão por requisição e a fecha.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models.py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Mapeia seis tabelas desta etapa e seus relacionamentos.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schemas.py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Valida campos enviados e define respostas da API.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routes/ocorrencias.py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Cadastra e consulta ocorrências, valida referências e registra histórico.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main.py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Integra os routers e publica a documentação OpenAPI.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analise.py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Lê e valida a fonte CSV e calcula indicadores sem consultar o banco.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5328"/>
        <w:gridCol w:w="936"/>
      </w:tblGrid>
      <w:tr>
        <w:trPr>
          <w:tblHeader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Método e rota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Sucesso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POST /categorias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Cadastrar categoria e devolver PK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201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/categorias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Listar categorias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POST /usuarios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Criar cidadão fictício para a demonstração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201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POST /ocorrencias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Cadastrar ocorrência e histórico inicial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201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/ocorrencias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Listar com categoria_nome e status_nome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/ocorrencias/{id_ocorrencia}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Consultar um registro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/saude/banco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Consultar a conexão e o tipo de banco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/status-ocorrencia e /equipes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Preservar consultas da etapa anterior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200</w:t>
            </w:r>
          </w:p>
        </w:tc>
      </w:tr>
    </w:tbl>
    <w:p>
      <w:pPr>
        <w:spacing w:after="20"/>
      </w:pPr>
    </w:p>
    <w:p>
      <w:r>
        <w:t>No cadastro de ocorrência, id_usuario é obrigatório; id_categoria pode ser informado ou nulo. O backend procura cada referência, recusa usuário ou categoria inativos e seleciona o status RECEBIDA. O protocolo é gerado pela API, limitado a 20 caracteres e protegido por unicidade no banco.</w:t>
      </w:r>
    </w:p>
    <w:p>
      <w:r>
        <w:t>A ocorrência e seu histórico inicial são gravados na mesma transação. Se houver falha de integridade, ocorre rollback. O relacionamento mantém o ID armazenado e permite responder com o nome da categoria, sem modificar a estrutura do banco.</w:t>
      </w:r>
    </w:p>
    <w:p>
      <w:r>
        <w:br w:type="page"/>
      </w:r>
    </w:p>
    <w:p>
      <w:pPr>
        <w:pStyle w:val="Heading1"/>
      </w:pPr>
      <w:r>
        <w:t>Testes e evidências de funcionamento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5904"/>
      </w:tblGrid>
      <w:tr>
        <w:trPr>
          <w:tblHeader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Caso conferido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Categoria válida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201 e ID gerado; registro aparece no GET.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Código ou nome de categoria repetido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409; sessão volta a aceitar cadastro válido.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Ocorrência com referências válidas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201; GET inclui Infraestrutura e Recebida.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Usuário ou categoria inexistente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404; ocorrência e histórico não são gravados.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Usuário ou categoria inativo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400; registro recusado.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Latitude 91, longitude inválida ou descrição curta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422 por validação de entrada.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Ausência de status RECEBIDA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409 com orientação de configuração.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FK inválida inserida diretamente no banco de teste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Integridade referencial rejeita a operação.</w:t>
            </w:r>
          </w:p>
        </w:tc>
      </w:tr>
    </w:tbl>
    <w:p>
      <w:pPr>
        <w:spacing w:after="20"/>
      </w:pPr>
    </w:p>
    <w:p>
      <w:r>
        <w:t>As respostas de TestClient estão em evidencias/json/requisicoes_ds_ia.json. A execução HTTP real está em http_local.json, acompanhada do log de início e encerramento do Uvicorn. testes.txt e testes.xml registram os 35 casos automatizados. Esses arquivos identificam o ambiente local e não são capturas de Postman.</w:t>
      </w:r>
    </w:p>
    <w:p>
      <w:pPr>
        <w:pStyle w:val="Heading1"/>
      </w:pPr>
      <w:r>
        <w:t>Exemplo observado na resposta de cadastro</w:t>
      </w:r>
    </w:p>
    <w:p>
      <w:pPr>
        <w:spacing w:after="40"/>
      </w:pPr>
      <w:r>
        <w:rPr>
          <w:rFonts w:ascii="Consolas" w:hAnsi="Consolas"/>
          <w:sz w:val="18"/>
        </w:rPr>
        <w:t>{</w:t>
      </w:r>
    </w:p>
    <w:p>
      <w:pPr>
        <w:spacing w:after="40"/>
      </w:pPr>
      <w:r>
        <w:rPr>
          <w:rFonts w:ascii="Consolas" w:hAnsi="Consolas"/>
          <w:sz w:val="18"/>
        </w:rPr>
        <w:t xml:space="preserve">  "id_ocorrencia": 1,</w:t>
      </w:r>
    </w:p>
    <w:p>
      <w:pPr>
        <w:spacing w:after="40"/>
      </w:pPr>
      <w:r>
        <w:rPr>
          <w:rFonts w:ascii="Consolas" w:hAnsi="Consolas"/>
          <w:sz w:val="18"/>
        </w:rPr>
        <w:t xml:space="preserve">  "id_usuario": 1,</w:t>
      </w:r>
    </w:p>
    <w:p>
      <w:pPr>
        <w:spacing w:after="40"/>
      </w:pPr>
      <w:r>
        <w:rPr>
          <w:rFonts w:ascii="Consolas" w:hAnsi="Consolas"/>
          <w:sz w:val="18"/>
        </w:rPr>
        <w:t xml:space="preserve">  "id_categoria": 1,</w:t>
      </w:r>
    </w:p>
    <w:p>
      <w:pPr>
        <w:spacing w:after="40"/>
      </w:pPr>
      <w:r>
        <w:rPr>
          <w:rFonts w:ascii="Consolas" w:hAnsi="Consolas"/>
          <w:sz w:val="18"/>
        </w:rPr>
        <w:t xml:space="preserve">  "id_status": 1,</w:t>
      </w:r>
    </w:p>
    <w:p>
      <w:pPr>
        <w:spacing w:after="40"/>
      </w:pPr>
      <w:r>
        <w:rPr>
          <w:rFonts w:ascii="Consolas" w:hAnsi="Consolas"/>
          <w:sz w:val="18"/>
        </w:rPr>
        <w:t xml:space="preserve">  "categoria_nome": "Infraestrutura",</w:t>
      </w:r>
    </w:p>
    <w:p>
      <w:pPr>
        <w:spacing w:after="40"/>
      </w:pPr>
      <w:r>
        <w:rPr>
          <w:rFonts w:ascii="Consolas" w:hAnsi="Consolas"/>
          <w:sz w:val="18"/>
        </w:rPr>
        <w:t xml:space="preserve">  "status_nome": "Recebida",</w:t>
      </w:r>
    </w:p>
    <w:p>
      <w:pPr>
        <w:spacing w:after="40"/>
      </w:pPr>
      <w:r>
        <w:rPr>
          <w:rFonts w:ascii="Consolas" w:hAnsi="Consolas"/>
          <w:sz w:val="18"/>
        </w:rPr>
        <w:t xml:space="preserve">  "prioridade": "ALTA"</w:t>
      </w:r>
    </w:p>
    <w:p>
      <w:pPr>
        <w:spacing w:after="40"/>
      </w:pPr>
      <w:r>
        <w:rPr>
          <w:rFonts w:ascii="Consolas" w:hAnsi="Consolas"/>
          <w:sz w:val="18"/>
        </w:rPr>
        <w:t>}</w:t>
      </w:r>
    </w:p>
    <w:p>
      <w:r>
        <w:t>Este trecho seleciona campos de uma resposta real de teste. A resposta completa inclui protocolo, descrição, coordenadas e datas. Os números pertencem ao banco isolado; ao testar no Supabase, devem ser utilizados os IDs efetivamente devolvidos, não IDs presumidos.</w:t>
      </w:r>
    </w:p>
    <w:p>
      <w:r>
        <w:t>A conferência estática em consistencia_modelo.json compara nomes, PK, FK e nulabilidade das seis tabelas ORM com o modelo canônico. O DDL completo contém nove tabelas. Foto, análise registrada e atendimento continuam na estrutura, mas não receberam rotas nesta etapa. A comparação estática não executa o DDL PostgreSQL.</w:t>
      </w:r>
    </w:p>
    <w:p>
      <w:r>
        <w:br w:type="page"/>
      </w:r>
    </w:p>
    <w:p>
      <w:pPr>
        <w:pStyle w:val="Heading1"/>
      </w:pPr>
      <w:r>
        <w:t>Execução e conclusão da entrega</w:t>
      </w:r>
    </w:p>
    <w:p>
      <w:r>
        <w:t>Abra a raiz Radar_Urbano_Modulo_7 e prepare o ambiente com os comandos abaixo. O README traz os comandos específicos de ativação para Prompt de Comando, PowerShell e Linux.</w:t>
      </w:r>
    </w:p>
    <w:p>
      <w:pPr>
        <w:spacing w:after="40"/>
      </w:pPr>
      <w:r>
        <w:rPr>
          <w:rFonts w:ascii="Consolas" w:hAnsi="Consolas"/>
          <w:sz w:val="18"/>
        </w:rPr>
        <w:t>python -m venv .venv</w:t>
      </w:r>
    </w:p>
    <w:p>
      <w:pPr>
        <w:spacing w:after="40"/>
      </w:pPr>
      <w:r>
        <w:rPr>
          <w:rFonts w:ascii="Consolas" w:hAnsi="Consolas"/>
          <w:sz w:val="18"/>
        </w:rPr>
        <w:t>python -m pip install -r requirements.txt</w:t>
      </w:r>
    </w:p>
    <w:p>
      <w:pPr>
        <w:spacing w:after="40"/>
      </w:pPr>
      <w:r>
        <w:rPr>
          <w:rFonts w:ascii="Consolas" w:hAnsi="Consolas"/>
          <w:sz w:val="18"/>
        </w:rPr>
        <w:t>python -m pytest -q</w:t>
      </w:r>
    </w:p>
    <w:p>
      <w:pPr>
        <w:spacing w:after="40"/>
      </w:pPr>
      <w:r>
        <w:rPr>
          <w:rFonts w:ascii="Consolas" w:hAnsi="Consolas"/>
          <w:sz w:val="18"/>
        </w:rPr>
        <w:t>python -m uvicorn backend.main:app --reload</w:t>
      </w:r>
    </w:p>
    <w:p>
      <w:r>
        <w:t>Antes de iniciar a gestão, copie .env.example para .env e informe a conexão do próprio projeto Supabase. A URL usa postgresql+psycopg e SSL. A análise do CSV funciona sem essa conexão. O arquivo .env e a pasta .venv ficam fora do GitHub.</w:t>
      </w:r>
    </w:p>
    <w:p>
      <w:r>
        <w:t>Se as nove tabelas já existem, não é necessário recriá-las. O script_ddl.sql prepara um banco novo; script_seed.sql contém os registros sintéticos e recusa a execução quando as tabelas principais já têm dados. A execução desses scripts no PostgreSQL continua pendente nesta sessão.</w:t>
      </w:r>
    </w:p>
    <w:p>
      <w:pPr>
        <w:pStyle w:val="Heading1"/>
      </w:pPr>
      <w:r>
        <w:t>Demonstrar no ambiente da escola</w:t>
      </w:r>
    </w:p>
    <w:p>
      <w:r>
        <w:t>Em /docs ou no Postman, confirme GET /saude/banco retornando banco=postgresql. Cadastre ou selecione uma categoria ativa, cadastre um usuário fictício e crie uma ocorrência com os IDs reais. Confira o GET com os nomes relacionados e repita com uma categoria realmente ausente. Salve capturas com rota, status e resposta.</w:t>
      </w:r>
    </w:p>
    <w:p>
      <w:r>
        <w:t>A coleção de Postman está pronta para importar. As respostas de cadastro alimentam as variáveis de ID das próximas requisições. O exemplo de erro usa 30000 porque está no intervalo SMALLINT; confirme que esse ID não existe. Acima de 32767, a entrada é rejeitada como 422 antes da busca.</w:t>
      </w:r>
    </w:p>
    <w:p>
      <w:r>
        <w:t>Para encerrar, pressione Ctrl+C, aguarde o prompt e execute deactivate. Para retomar, ative a .venv e inicie Uvicorn. O encerramento não apaga os registros do banco.</w:t>
      </w:r>
    </w:p>
    <w:p>
      <w:pPr>
        <w:pStyle w:val="Heading1"/>
      </w:pPr>
      <w:r>
        <w:t>Situação final</w:t>
      </w:r>
    </w:p>
    <w:p>
      <w:r>
        <w:t>Código e documentação preparados; testes locais e requisições HTTP aprovados. Ainda faltam confirmar a conexão e a persistência no Supabase, registrar capturas reais em /docs ou Postman, sincronizar o código com o GitHub e apresentar a execução. O backend é um protótipo acadêmico sem autenticação de produção; a identidade enviada no cadastro não comprova quem está usando a aplicação.</w:t>
      </w:r>
    </w:p>
    <w:p>
      <w:r>
        <w:t>Os arquivos originais da escola foram tratados como orientações, sem preenchimento como respostas. A ficha da equipe exige os números, turmas, cursos e papéis reais de cada integrante; esses dados não foram inventados. A nota individual pertence ao professor avaliador.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Radar Urbano  •  Módulo 7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