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A8424" w14:textId="0F717350" w:rsidR="0043213D" w:rsidRDefault="004B3391" w:rsidP="0043213D">
      <w:pPr>
        <w:jc w:val="center"/>
        <w:rPr>
          <w:rFonts w:ascii="Times" w:hAnsi="Times"/>
          <w:sz w:val="36"/>
          <w:szCs w:val="36"/>
        </w:rPr>
      </w:pPr>
      <w:r>
        <w:rPr>
          <w:rFonts w:ascii="Times" w:hAnsi="Times"/>
          <w:sz w:val="36"/>
          <w:szCs w:val="36"/>
        </w:rPr>
        <w:t>How Do Analyst Characteristics Affect</w:t>
      </w:r>
      <w:r w:rsidR="0043213D" w:rsidRPr="00A50EC9">
        <w:rPr>
          <w:rFonts w:ascii="Times" w:hAnsi="Times"/>
          <w:sz w:val="36"/>
          <w:szCs w:val="36"/>
        </w:rPr>
        <w:t xml:space="preserve"> Analyst’s </w:t>
      </w:r>
      <w:r w:rsidR="00594851" w:rsidRPr="00A50EC9">
        <w:rPr>
          <w:rFonts w:ascii="Times" w:hAnsi="Times"/>
          <w:sz w:val="36"/>
          <w:szCs w:val="36"/>
        </w:rPr>
        <w:t>Disagreement?</w:t>
      </w:r>
    </w:p>
    <w:p w14:paraId="7B0BB74C" w14:textId="77777777" w:rsidR="00A50EC9" w:rsidRPr="00A50EC9" w:rsidRDefault="00A50EC9" w:rsidP="0043213D">
      <w:pPr>
        <w:jc w:val="center"/>
        <w:rPr>
          <w:rFonts w:ascii="Times" w:hAnsi="Times"/>
          <w:sz w:val="36"/>
          <w:szCs w:val="36"/>
        </w:rPr>
      </w:pPr>
    </w:p>
    <w:p w14:paraId="3B24C626" w14:textId="0B83CB69" w:rsidR="00A50EC9" w:rsidRDefault="00A50EC9" w:rsidP="00A50EC9">
      <w:pPr>
        <w:jc w:val="center"/>
        <w:rPr>
          <w:rFonts w:ascii="Times" w:hAnsi="Times"/>
        </w:rPr>
      </w:pPr>
      <w:r>
        <w:rPr>
          <w:rFonts w:ascii="Times" w:hAnsi="Times" w:hint="eastAsia"/>
        </w:rPr>
        <w:t>Justin</w:t>
      </w:r>
      <w:r>
        <w:rPr>
          <w:rFonts w:ascii="Times" w:hAnsi="Times"/>
        </w:rPr>
        <w:t xml:space="preserve"> Jia and </w:t>
      </w:r>
      <w:proofErr w:type="spellStart"/>
      <w:r>
        <w:rPr>
          <w:rFonts w:ascii="Times" w:hAnsi="Times"/>
        </w:rPr>
        <w:t>Jinyang</w:t>
      </w:r>
      <w:proofErr w:type="spellEnd"/>
      <w:r>
        <w:rPr>
          <w:rFonts w:ascii="Times" w:hAnsi="Times"/>
        </w:rPr>
        <w:t xml:space="preserve"> Liu</w:t>
      </w:r>
    </w:p>
    <w:p w14:paraId="5A1F24BA" w14:textId="77D0EC80" w:rsidR="00A50EC9" w:rsidRDefault="00A50EC9" w:rsidP="00A50EC9">
      <w:pPr>
        <w:jc w:val="center"/>
        <w:rPr>
          <w:rFonts w:ascii="Times" w:hAnsi="Times"/>
        </w:rPr>
      </w:pPr>
    </w:p>
    <w:p w14:paraId="250DF126" w14:textId="5E34653F" w:rsidR="00A50EC9" w:rsidRDefault="00A50EC9" w:rsidP="00A50EC9">
      <w:pPr>
        <w:jc w:val="center"/>
        <w:rPr>
          <w:rFonts w:ascii="Times" w:hAnsi="Times"/>
        </w:rPr>
      </w:pPr>
      <w:r>
        <w:rPr>
          <w:rFonts w:ascii="Times" w:hAnsi="Times"/>
        </w:rPr>
        <w:t>Abstract</w:t>
      </w:r>
    </w:p>
    <w:p w14:paraId="1B1D1DAC" w14:textId="470805A8" w:rsidR="00A50EC9" w:rsidRDefault="00A50EC9" w:rsidP="00A50EC9">
      <w:pPr>
        <w:jc w:val="center"/>
        <w:rPr>
          <w:rFonts w:ascii="Times" w:hAnsi="Times"/>
        </w:rPr>
      </w:pPr>
    </w:p>
    <w:p w14:paraId="19CDE463" w14:textId="77777777" w:rsidR="00A50EC9" w:rsidRDefault="00A50EC9" w:rsidP="004B3391">
      <w:pPr>
        <w:jc w:val="both"/>
        <w:rPr>
          <w:rFonts w:ascii="Times" w:hAnsi="Times"/>
        </w:rPr>
      </w:pPr>
    </w:p>
    <w:p w14:paraId="5ABAAD83" w14:textId="630EF487" w:rsidR="00F33105" w:rsidRDefault="00F33105" w:rsidP="004B3391">
      <w:pPr>
        <w:jc w:val="both"/>
        <w:rPr>
          <w:rFonts w:ascii="Times" w:hAnsi="Times"/>
        </w:rPr>
      </w:pPr>
      <w:r>
        <w:rPr>
          <w:rFonts w:ascii="Times" w:hAnsi="Times"/>
        </w:rPr>
        <w:t xml:space="preserve">We investigate determinants of analyst’s disagreement over earnings </w:t>
      </w:r>
      <w:r w:rsidR="004B3391">
        <w:rPr>
          <w:rFonts w:ascii="Times" w:hAnsi="Times"/>
        </w:rPr>
        <w:t xml:space="preserve">forecasts, price forecasts, and stock recommendation, and we find that analysts in the same brokerage, in brokerage with similar size, and with equivalent experience are less likely to disagree with each other. </w:t>
      </w:r>
      <w:r>
        <w:rPr>
          <w:rFonts w:ascii="Times" w:hAnsi="Times"/>
        </w:rPr>
        <w:t xml:space="preserve">Our finding corroborates analyst’s information acquisition </w:t>
      </w:r>
      <w:r w:rsidR="004B3391">
        <w:rPr>
          <w:rFonts w:ascii="Times" w:hAnsi="Times"/>
        </w:rPr>
        <w:t xml:space="preserve">and </w:t>
      </w:r>
      <w:r>
        <w:rPr>
          <w:rFonts w:ascii="Times" w:hAnsi="Times"/>
        </w:rPr>
        <w:t>integration role on capital markets</w:t>
      </w:r>
      <w:r w:rsidR="004B3391">
        <w:rPr>
          <w:rFonts w:ascii="Times" w:hAnsi="Times" w:hint="eastAsia"/>
        </w:rPr>
        <w:t>.</w:t>
      </w:r>
    </w:p>
    <w:p w14:paraId="1B460069" w14:textId="40819053" w:rsidR="00A50EC9" w:rsidRDefault="00A50EC9" w:rsidP="004B3391">
      <w:pPr>
        <w:jc w:val="both"/>
        <w:rPr>
          <w:rFonts w:ascii="Times" w:hAnsi="Times"/>
        </w:rPr>
      </w:pPr>
      <w:r>
        <w:rPr>
          <w:rFonts w:ascii="Times" w:hAnsi="Times"/>
        </w:rPr>
        <w:br w:type="page"/>
      </w:r>
    </w:p>
    <w:p w14:paraId="458A9665" w14:textId="77777777" w:rsidR="0043213D" w:rsidRPr="0043213D" w:rsidRDefault="0043213D" w:rsidP="0043213D">
      <w:pPr>
        <w:rPr>
          <w:rFonts w:ascii="Times" w:hAnsi="Times"/>
        </w:rPr>
      </w:pPr>
    </w:p>
    <w:p w14:paraId="529B420C" w14:textId="6CD6EA3D" w:rsidR="0043213D" w:rsidRPr="00A50EC9" w:rsidRDefault="0043213D" w:rsidP="0043213D">
      <w:pPr>
        <w:rPr>
          <w:rFonts w:ascii="Times" w:hAnsi="Times"/>
          <w:b/>
          <w:bCs/>
        </w:rPr>
      </w:pPr>
      <w:r w:rsidRPr="00A50EC9">
        <w:rPr>
          <w:rFonts w:ascii="Times" w:hAnsi="Times"/>
          <w:b/>
          <w:bCs/>
        </w:rPr>
        <w:t>Motivation and Literature Review</w:t>
      </w:r>
    </w:p>
    <w:p w14:paraId="55C2952A" w14:textId="77777777" w:rsidR="0043213D" w:rsidRDefault="0043213D" w:rsidP="0043213D">
      <w:pPr>
        <w:rPr>
          <w:rFonts w:ascii="Times" w:hAnsi="Times"/>
        </w:rPr>
      </w:pPr>
    </w:p>
    <w:p w14:paraId="0346DCF3" w14:textId="68AE60B2" w:rsidR="0043213D" w:rsidRPr="0043213D" w:rsidRDefault="0043213D" w:rsidP="004B3391">
      <w:pPr>
        <w:jc w:val="both"/>
        <w:rPr>
          <w:rFonts w:ascii="Times" w:hAnsi="Times"/>
        </w:rPr>
      </w:pPr>
      <w:r w:rsidRPr="0071765A">
        <w:rPr>
          <w:rFonts w:ascii="Times" w:hAnsi="Times"/>
          <w:color w:val="000000" w:themeColor="text1"/>
        </w:rPr>
        <w:t>Analysts pl</w:t>
      </w:r>
      <w:r w:rsidRPr="0071765A">
        <w:rPr>
          <w:rFonts w:ascii="Times" w:hAnsi="Times" w:hint="eastAsia"/>
          <w:color w:val="000000" w:themeColor="text1"/>
        </w:rPr>
        <w:t>a</w:t>
      </w:r>
      <w:r w:rsidRPr="0071765A">
        <w:rPr>
          <w:rFonts w:ascii="Times" w:hAnsi="Times"/>
          <w:color w:val="000000" w:themeColor="text1"/>
        </w:rPr>
        <w:t>y important roles in acquiring and integrating information on capital markets.</w:t>
      </w:r>
      <w:r w:rsidR="002F6396" w:rsidRPr="0071765A">
        <w:rPr>
          <w:rFonts w:ascii="Times" w:hAnsi="Times"/>
          <w:color w:val="000000" w:themeColor="text1"/>
        </w:rPr>
        <w:t xml:space="preserve"> </w:t>
      </w:r>
      <w:r w:rsidR="002650DB" w:rsidRPr="0071765A">
        <w:rPr>
          <w:rFonts w:ascii="Times" w:hAnsi="Times"/>
          <w:color w:val="000000" w:themeColor="text1"/>
        </w:rPr>
        <w:t xml:space="preserve">They </w:t>
      </w:r>
      <w:r w:rsidR="002F6396" w:rsidRPr="0071765A">
        <w:rPr>
          <w:rFonts w:ascii="Times" w:hAnsi="Times"/>
          <w:color w:val="000000" w:themeColor="text1"/>
        </w:rPr>
        <w:t>i</w:t>
      </w:r>
      <w:r w:rsidR="002F6396" w:rsidRPr="0071765A">
        <w:rPr>
          <w:rFonts w:ascii="Times" w:hAnsi="Times" w:hint="eastAsia"/>
          <w:color w:val="000000" w:themeColor="text1"/>
        </w:rPr>
        <w:t>ssue</w:t>
      </w:r>
      <w:r w:rsidR="002650DB" w:rsidRPr="0071765A">
        <w:rPr>
          <w:rFonts w:ascii="Times" w:hAnsi="Times"/>
          <w:color w:val="000000" w:themeColor="text1"/>
        </w:rPr>
        <w:t xml:space="preserve"> stock recommendation, earning forecast and share price forecast</w:t>
      </w:r>
      <w:r w:rsidRPr="0071765A">
        <w:rPr>
          <w:rFonts w:ascii="Times" w:hAnsi="Times"/>
          <w:color w:val="000000" w:themeColor="text1"/>
        </w:rPr>
        <w:t xml:space="preserve"> based on their private and public information, and consequently their opinions influence stock price and contribute to efficient capital markets (Bradshaw et al., 201</w:t>
      </w:r>
      <w:r w:rsidR="00AF18B4" w:rsidRPr="0071765A">
        <w:rPr>
          <w:rFonts w:ascii="Times" w:hAnsi="Times"/>
          <w:color w:val="000000" w:themeColor="text1"/>
        </w:rPr>
        <w:t>7</w:t>
      </w:r>
      <w:r w:rsidRPr="0071765A">
        <w:rPr>
          <w:rFonts w:ascii="Times" w:hAnsi="Times"/>
          <w:color w:val="000000" w:themeColor="text1"/>
        </w:rPr>
        <w:t>). However, it is common that different analysts hold different opinions over one</w:t>
      </w:r>
      <w:r w:rsidR="002650DB" w:rsidRPr="0071765A">
        <w:rPr>
          <w:rFonts w:ascii="Times" w:hAnsi="Times"/>
          <w:color w:val="000000" w:themeColor="text1"/>
        </w:rPr>
        <w:t xml:space="preserve"> target</w:t>
      </w:r>
      <w:r w:rsidRPr="0071765A">
        <w:rPr>
          <w:rFonts w:ascii="Times" w:hAnsi="Times"/>
          <w:color w:val="000000" w:themeColor="text1"/>
        </w:rPr>
        <w:t xml:space="preserve"> </w:t>
      </w:r>
      <w:r w:rsidRPr="0043213D">
        <w:rPr>
          <w:rFonts w:ascii="Times" w:hAnsi="Times"/>
        </w:rPr>
        <w:t>firm, and this disagreement across analysts may create excess volatility to capital markets (</w:t>
      </w:r>
      <w:proofErr w:type="spellStart"/>
      <w:r w:rsidRPr="0043213D">
        <w:rPr>
          <w:rFonts w:ascii="Times" w:hAnsi="Times"/>
        </w:rPr>
        <w:t>Lundholm</w:t>
      </w:r>
      <w:proofErr w:type="spellEnd"/>
      <w:r w:rsidRPr="0043213D">
        <w:rPr>
          <w:rFonts w:ascii="Times" w:hAnsi="Times"/>
        </w:rPr>
        <w:t xml:space="preserve"> and </w:t>
      </w:r>
      <w:proofErr w:type="spellStart"/>
      <w:r w:rsidRPr="0043213D">
        <w:rPr>
          <w:rFonts w:ascii="Times" w:hAnsi="Times"/>
        </w:rPr>
        <w:t>Rogo</w:t>
      </w:r>
      <w:proofErr w:type="spellEnd"/>
      <w:r w:rsidRPr="0043213D">
        <w:rPr>
          <w:rFonts w:ascii="Times" w:hAnsi="Times"/>
        </w:rPr>
        <w:t xml:space="preserve">, 2016) and lead to price inefficiency (Rees and Thomas, 2010; Lee, 2016). One </w:t>
      </w:r>
      <w:r>
        <w:rPr>
          <w:rFonts w:ascii="Times" w:hAnsi="Times"/>
        </w:rPr>
        <w:t>important</w:t>
      </w:r>
      <w:r w:rsidRPr="0043213D">
        <w:rPr>
          <w:rFonts w:ascii="Times" w:hAnsi="Times"/>
        </w:rPr>
        <w:t xml:space="preserve"> question is why analysts disagree with each other, and our study tries to answer this question from the perspective of analyst’s information acquisition role and integration role. We use different opinions, disagreement, divergence, and dispersion interchangeably in this proposal.</w:t>
      </w:r>
    </w:p>
    <w:p w14:paraId="509701CF" w14:textId="77777777" w:rsidR="0043213D" w:rsidRPr="0043213D" w:rsidRDefault="0043213D" w:rsidP="004B3391">
      <w:pPr>
        <w:jc w:val="both"/>
        <w:rPr>
          <w:rFonts w:ascii="Times" w:hAnsi="Times"/>
        </w:rPr>
      </w:pPr>
    </w:p>
    <w:p w14:paraId="4C2D507F" w14:textId="66297905" w:rsidR="0043213D" w:rsidRPr="0043213D" w:rsidRDefault="0043213D" w:rsidP="00C30FB0">
      <w:pPr>
        <w:ind w:firstLine="720"/>
        <w:jc w:val="both"/>
        <w:rPr>
          <w:rFonts w:ascii="Times" w:hAnsi="Times"/>
        </w:rPr>
      </w:pPr>
      <w:r w:rsidRPr="0043213D">
        <w:rPr>
          <w:rFonts w:ascii="Times" w:hAnsi="Times"/>
        </w:rPr>
        <w:t xml:space="preserve">Most of previous researchers attribute analysts’ disagreement to firm’s characteristics such as fundamentals (Johnson, 2004) and information environments (Lang and </w:t>
      </w:r>
      <w:proofErr w:type="spellStart"/>
      <w:r w:rsidRPr="0043213D">
        <w:rPr>
          <w:rFonts w:ascii="Times" w:hAnsi="Times"/>
        </w:rPr>
        <w:t>Lundholm</w:t>
      </w:r>
      <w:proofErr w:type="spellEnd"/>
      <w:r w:rsidRPr="0043213D">
        <w:rPr>
          <w:rFonts w:ascii="Times" w:hAnsi="Times"/>
        </w:rPr>
        <w:t>, 1996; Ali et al., 2019), but they ignore analysts’ characteristics as one important source of analysts’ dispersion. Diether et al. (2002) find that analysts’ different opinions are unexplained by firm’s characteristics, but they do not point out the specific source of dispersion. Li and Natarajan</w:t>
      </w:r>
      <w:r w:rsidR="00A50EC9">
        <w:rPr>
          <w:rFonts w:ascii="Times" w:hAnsi="Times"/>
        </w:rPr>
        <w:t xml:space="preserve">’s research </w:t>
      </w:r>
      <w:r w:rsidRPr="0043213D">
        <w:rPr>
          <w:rFonts w:ascii="Times" w:hAnsi="Times"/>
        </w:rPr>
        <w:t xml:space="preserve">(2012) </w:t>
      </w:r>
      <w:proofErr w:type="gramStart"/>
      <w:r w:rsidRPr="0043213D">
        <w:rPr>
          <w:rFonts w:ascii="Times" w:hAnsi="Times"/>
        </w:rPr>
        <w:t>is</w:t>
      </w:r>
      <w:proofErr w:type="gramEnd"/>
      <w:r w:rsidRPr="0043213D">
        <w:rPr>
          <w:rFonts w:ascii="Times" w:hAnsi="Times"/>
        </w:rPr>
        <w:t xml:space="preserve"> the closest to our study in the sense that they examine the effect analysts’ strategic behavior on analysts’ disagreement. They construct firm-level proxies for analysts’ herding and self-selection behavior and argue that these behaviors add downward bias to analysts’ disagreement. Compared with Li and Natarajan’s research (2012), our study uses analyst-level data and focuses on analyst’s information acquisition role and integration role. We measure the dispersion between analysts by their differences in earnings and price forecasts and stock recommendation. Then, we employ our measures to test for associations between the disagreement and analysts’ characteristics.  </w:t>
      </w:r>
    </w:p>
    <w:p w14:paraId="0175F101" w14:textId="77777777" w:rsidR="0043213D" w:rsidRPr="0043213D" w:rsidRDefault="0043213D" w:rsidP="00C30FB0">
      <w:pPr>
        <w:ind w:firstLine="720"/>
        <w:jc w:val="both"/>
        <w:rPr>
          <w:rFonts w:ascii="Times" w:hAnsi="Times"/>
        </w:rPr>
      </w:pPr>
    </w:p>
    <w:p w14:paraId="24AB772D" w14:textId="5BEF820D" w:rsidR="0043213D" w:rsidRPr="0043213D" w:rsidRDefault="002F6396" w:rsidP="00C30FB0">
      <w:pPr>
        <w:ind w:firstLine="720"/>
        <w:jc w:val="both"/>
        <w:rPr>
          <w:rFonts w:ascii="Times" w:hAnsi="Times"/>
        </w:rPr>
      </w:pPr>
      <w:r>
        <w:rPr>
          <w:rFonts w:ascii="Times" w:hAnsi="Times"/>
        </w:rPr>
        <w:t>O</w:t>
      </w:r>
      <w:r>
        <w:rPr>
          <w:rFonts w:ascii="Times" w:hAnsi="Times" w:hint="eastAsia"/>
        </w:rPr>
        <w:t>ur</w:t>
      </w:r>
      <w:r>
        <w:rPr>
          <w:rFonts w:ascii="Times" w:hAnsi="Times"/>
        </w:rPr>
        <w:t xml:space="preserve"> hypotheses are developed based on </w:t>
      </w:r>
      <w:r w:rsidR="0043213D" w:rsidRPr="0043213D">
        <w:rPr>
          <w:rFonts w:ascii="Times" w:hAnsi="Times"/>
        </w:rPr>
        <w:t xml:space="preserve">Brown et al. (2015) and </w:t>
      </w:r>
      <w:proofErr w:type="spellStart"/>
      <w:r w:rsidR="0043213D" w:rsidRPr="0043213D">
        <w:rPr>
          <w:rFonts w:ascii="Times" w:hAnsi="Times"/>
        </w:rPr>
        <w:t>Blankespoor</w:t>
      </w:r>
      <w:proofErr w:type="spellEnd"/>
      <w:r w:rsidR="0043213D" w:rsidRPr="0043213D">
        <w:rPr>
          <w:rFonts w:ascii="Times" w:hAnsi="Times"/>
        </w:rPr>
        <w:t xml:space="preserve"> et al. (2020)</w:t>
      </w:r>
      <w:r>
        <w:rPr>
          <w:rFonts w:ascii="Times" w:hAnsi="Times"/>
        </w:rPr>
        <w:t>’s frameworks.</w:t>
      </w:r>
      <w:r w:rsidR="0043213D" w:rsidRPr="0043213D">
        <w:rPr>
          <w:rFonts w:ascii="Times" w:hAnsi="Times"/>
        </w:rPr>
        <w:t xml:space="preserve"> According to these frameworks, we argue that analysts consider costs when preform information acquisition and integration roles. </w:t>
      </w:r>
      <w:r w:rsidR="003C6193">
        <w:rPr>
          <w:rFonts w:ascii="Times" w:hAnsi="Times"/>
        </w:rPr>
        <w:t>For one given firm, i</w:t>
      </w:r>
      <w:r w:rsidR="0043213D" w:rsidRPr="0043213D">
        <w:rPr>
          <w:rFonts w:ascii="Times" w:hAnsi="Times"/>
        </w:rPr>
        <w:t xml:space="preserve">t is likely that analysts with same level of cost acquire and integrate </w:t>
      </w:r>
      <w:r w:rsidR="003C6193">
        <w:rPr>
          <w:rFonts w:ascii="Times" w:hAnsi="Times"/>
        </w:rPr>
        <w:t xml:space="preserve">this firm’s </w:t>
      </w:r>
      <w:r w:rsidR="0043213D" w:rsidRPr="0043213D">
        <w:rPr>
          <w:rFonts w:ascii="Times" w:hAnsi="Times"/>
        </w:rPr>
        <w:t>information in similar way, and thus they share similar opinions. We assume that analysts from the same brokerage or from brokerage with similar size face</w:t>
      </w:r>
      <w:r w:rsidR="005623BE">
        <w:rPr>
          <w:rFonts w:ascii="Times" w:hAnsi="Times"/>
        </w:rPr>
        <w:t xml:space="preserve"> </w:t>
      </w:r>
      <w:r w:rsidR="0043213D" w:rsidRPr="0043213D">
        <w:rPr>
          <w:rFonts w:ascii="Times" w:hAnsi="Times"/>
        </w:rPr>
        <w:t xml:space="preserve">close level of information acquisition cost because </w:t>
      </w:r>
      <w:r w:rsidR="005623BE" w:rsidRPr="0071765A">
        <w:rPr>
          <w:rFonts w:ascii="Times" w:hAnsi="Times"/>
          <w:color w:val="000000" w:themeColor="text1"/>
        </w:rPr>
        <w:t>their information source</w:t>
      </w:r>
      <w:r w:rsidRPr="0071765A">
        <w:rPr>
          <w:rFonts w:ascii="Times" w:hAnsi="Times"/>
          <w:color w:val="000000" w:themeColor="text1"/>
        </w:rPr>
        <w:t>s</w:t>
      </w:r>
      <w:r w:rsidR="005623BE" w:rsidRPr="0071765A">
        <w:rPr>
          <w:rFonts w:ascii="Times" w:hAnsi="Times"/>
          <w:color w:val="000000" w:themeColor="text1"/>
        </w:rPr>
        <w:t xml:space="preserve"> are similar</w:t>
      </w:r>
      <w:r w:rsidRPr="0071765A">
        <w:rPr>
          <w:rFonts w:ascii="Times" w:hAnsi="Times"/>
          <w:color w:val="000000" w:themeColor="text1"/>
        </w:rPr>
        <w:t xml:space="preserve">. </w:t>
      </w:r>
      <w:r w:rsidR="0043213D" w:rsidRPr="0043213D">
        <w:rPr>
          <w:rFonts w:ascii="Times" w:hAnsi="Times"/>
        </w:rPr>
        <w:t xml:space="preserve">We </w:t>
      </w:r>
      <w:r>
        <w:rPr>
          <w:rFonts w:ascii="Times" w:hAnsi="Times"/>
        </w:rPr>
        <w:t xml:space="preserve">also </w:t>
      </w:r>
      <w:r w:rsidR="0043213D" w:rsidRPr="0043213D">
        <w:rPr>
          <w:rFonts w:ascii="Times" w:hAnsi="Times"/>
        </w:rPr>
        <w:t xml:space="preserve">assume that equally experienced analysts bear close level of information integration cost because they are both well acquainted with industry knowledge. </w:t>
      </w:r>
    </w:p>
    <w:p w14:paraId="6107BB95" w14:textId="77777777" w:rsidR="0043213D" w:rsidRPr="0043213D" w:rsidRDefault="0043213D" w:rsidP="00C30FB0">
      <w:pPr>
        <w:ind w:firstLine="720"/>
        <w:jc w:val="both"/>
        <w:rPr>
          <w:rFonts w:ascii="Times" w:hAnsi="Times"/>
        </w:rPr>
      </w:pPr>
    </w:p>
    <w:p w14:paraId="00B43E5A" w14:textId="77777777" w:rsidR="0043213D" w:rsidRPr="0043213D" w:rsidRDefault="0043213D" w:rsidP="00C30FB0">
      <w:pPr>
        <w:ind w:firstLine="720"/>
        <w:jc w:val="both"/>
        <w:rPr>
          <w:rFonts w:ascii="Times" w:hAnsi="Times"/>
        </w:rPr>
      </w:pPr>
      <w:r w:rsidRPr="0043213D">
        <w:rPr>
          <w:rFonts w:ascii="Times" w:hAnsi="Times"/>
        </w:rPr>
        <w:t>H1:  The disagreement between analysts from the same brokerage or from the brokerage with similar size is small.</w:t>
      </w:r>
    </w:p>
    <w:p w14:paraId="30BCD027" w14:textId="393519D2" w:rsidR="006109A6" w:rsidRDefault="0043213D" w:rsidP="00C30FB0">
      <w:pPr>
        <w:ind w:firstLine="720"/>
        <w:jc w:val="both"/>
        <w:rPr>
          <w:rFonts w:ascii="Times" w:hAnsi="Times"/>
        </w:rPr>
      </w:pPr>
      <w:r w:rsidRPr="0043213D">
        <w:rPr>
          <w:rFonts w:ascii="Times" w:hAnsi="Times"/>
        </w:rPr>
        <w:t>H2: The disagreement between equally experienced analysts is small.</w:t>
      </w:r>
    </w:p>
    <w:p w14:paraId="452C5F39" w14:textId="524DEC44" w:rsidR="0043213D" w:rsidRDefault="0043213D" w:rsidP="004B3391">
      <w:pPr>
        <w:jc w:val="both"/>
        <w:rPr>
          <w:rFonts w:ascii="Times" w:hAnsi="Times"/>
        </w:rPr>
      </w:pPr>
    </w:p>
    <w:p w14:paraId="4FA3EE0C" w14:textId="77777777" w:rsidR="0043213D" w:rsidRPr="006109A6" w:rsidRDefault="0043213D" w:rsidP="004B3391">
      <w:pPr>
        <w:jc w:val="both"/>
        <w:rPr>
          <w:rFonts w:ascii="Times" w:hAnsi="Times"/>
        </w:rPr>
      </w:pPr>
    </w:p>
    <w:p w14:paraId="676FD141" w14:textId="1D374A65" w:rsidR="006109A6" w:rsidRPr="006109A6" w:rsidRDefault="006109A6" w:rsidP="004B3391">
      <w:pPr>
        <w:jc w:val="both"/>
        <w:rPr>
          <w:rFonts w:ascii="Times" w:hAnsi="Times"/>
        </w:rPr>
      </w:pPr>
    </w:p>
    <w:p w14:paraId="486D8599" w14:textId="6B61FA27" w:rsidR="00961CF5" w:rsidRDefault="00961CF5" w:rsidP="004B3391">
      <w:pPr>
        <w:jc w:val="both"/>
        <w:rPr>
          <w:rFonts w:ascii="Times" w:hAnsi="Times"/>
          <w:i/>
          <w:iCs/>
          <w:color w:val="FF0000"/>
        </w:rPr>
      </w:pPr>
    </w:p>
    <w:p w14:paraId="28C6ABDF" w14:textId="68BC4DAB" w:rsidR="00333803" w:rsidRDefault="00333803" w:rsidP="004B3391">
      <w:pPr>
        <w:jc w:val="both"/>
        <w:rPr>
          <w:rFonts w:ascii="Times" w:hAnsi="Times"/>
          <w:i/>
          <w:iCs/>
          <w:color w:val="FF0000"/>
        </w:rPr>
      </w:pPr>
    </w:p>
    <w:p w14:paraId="1AFC9A26" w14:textId="67B27566" w:rsidR="00333803" w:rsidRDefault="00333803" w:rsidP="004B3391">
      <w:pPr>
        <w:jc w:val="both"/>
        <w:rPr>
          <w:rFonts w:ascii="Times" w:hAnsi="Times"/>
          <w:i/>
          <w:iCs/>
          <w:color w:val="FF0000"/>
        </w:rPr>
      </w:pPr>
    </w:p>
    <w:p w14:paraId="444EC2D7" w14:textId="77777777" w:rsidR="00333803" w:rsidRDefault="00333803" w:rsidP="004B3391">
      <w:pPr>
        <w:jc w:val="both"/>
        <w:rPr>
          <w:rFonts w:ascii="Times" w:hAnsi="Times"/>
        </w:rPr>
      </w:pPr>
    </w:p>
    <w:p w14:paraId="65E16842" w14:textId="0BE509E5" w:rsidR="00961CF5" w:rsidRPr="00A50EC9" w:rsidRDefault="00961CF5" w:rsidP="004B3391">
      <w:pPr>
        <w:jc w:val="both"/>
        <w:rPr>
          <w:rFonts w:ascii="Times" w:hAnsi="Times"/>
          <w:b/>
          <w:bCs/>
        </w:rPr>
      </w:pPr>
      <w:r w:rsidRPr="00A50EC9">
        <w:rPr>
          <w:rFonts w:ascii="Times" w:hAnsi="Times"/>
          <w:b/>
          <w:bCs/>
        </w:rPr>
        <w:t>Research Design</w:t>
      </w:r>
    </w:p>
    <w:p w14:paraId="0BE1E25B" w14:textId="73B57D58" w:rsidR="00961CF5" w:rsidRDefault="00961CF5" w:rsidP="004B3391">
      <w:pPr>
        <w:jc w:val="both"/>
        <w:rPr>
          <w:rFonts w:ascii="Times" w:hAnsi="Times"/>
        </w:rPr>
      </w:pPr>
    </w:p>
    <w:p w14:paraId="14969354" w14:textId="357CCEE3" w:rsidR="00961CF5" w:rsidRDefault="00961CF5" w:rsidP="00C30FB0">
      <w:pPr>
        <w:ind w:firstLine="720"/>
        <w:jc w:val="both"/>
        <w:rPr>
          <w:rFonts w:ascii="Times" w:hAnsi="Times"/>
        </w:rPr>
      </w:pPr>
      <w:r>
        <w:rPr>
          <w:rFonts w:ascii="Times" w:hAnsi="Times"/>
        </w:rPr>
        <w:t xml:space="preserve">We </w:t>
      </w:r>
      <w:r w:rsidR="0071765A">
        <w:rPr>
          <w:rFonts w:ascii="Times" w:hAnsi="Times"/>
        </w:rPr>
        <w:t>start with</w:t>
      </w:r>
      <w:r>
        <w:rPr>
          <w:rFonts w:ascii="Times" w:hAnsi="Times"/>
        </w:rPr>
        <w:t xml:space="preserve"> the</w:t>
      </w:r>
      <w:r w:rsidR="0071765A">
        <w:rPr>
          <w:rFonts w:ascii="Times" w:hAnsi="Times"/>
        </w:rPr>
        <w:t xml:space="preserve"> full</w:t>
      </w:r>
      <w:r>
        <w:rPr>
          <w:rFonts w:ascii="Times" w:hAnsi="Times"/>
        </w:rPr>
        <w:t xml:space="preserve"> </w:t>
      </w:r>
      <w:r w:rsidR="002037D2" w:rsidRPr="002037D2">
        <w:rPr>
          <w:rFonts w:ascii="Times" w:hAnsi="Times"/>
        </w:rPr>
        <w:t>Institutional Broker Estimate System (I/B/E/S) database</w:t>
      </w:r>
      <w:r w:rsidR="002037D2">
        <w:rPr>
          <w:rFonts w:ascii="Times" w:hAnsi="Times"/>
        </w:rPr>
        <w:t xml:space="preserve">. </w:t>
      </w:r>
      <w:r w:rsidR="002037D2" w:rsidRPr="0071765A">
        <w:rPr>
          <w:rFonts w:ascii="Times" w:hAnsi="Times"/>
          <w:color w:val="000000" w:themeColor="text1"/>
        </w:rPr>
        <w:t>We use the</w:t>
      </w:r>
      <w:r w:rsidR="0071765A" w:rsidRPr="0071765A">
        <w:rPr>
          <w:rFonts w:ascii="Times" w:hAnsi="Times"/>
          <w:color w:val="000000" w:themeColor="text1"/>
        </w:rPr>
        <w:t xml:space="preserve"> </w:t>
      </w:r>
      <w:r w:rsidR="002037D2" w:rsidRPr="0071765A">
        <w:rPr>
          <w:rFonts w:ascii="Times" w:hAnsi="Times"/>
          <w:color w:val="000000" w:themeColor="text1"/>
        </w:rPr>
        <w:t>I/B/E/S</w:t>
      </w:r>
      <w:r w:rsidR="0071765A" w:rsidRPr="0071765A">
        <w:rPr>
          <w:rFonts w:ascii="Times" w:hAnsi="Times"/>
          <w:color w:val="000000" w:themeColor="text1"/>
        </w:rPr>
        <w:t xml:space="preserve"> </w:t>
      </w:r>
      <w:r w:rsidR="002037D2" w:rsidRPr="0071765A">
        <w:rPr>
          <w:rFonts w:ascii="Times" w:hAnsi="Times"/>
          <w:color w:val="000000" w:themeColor="text1"/>
        </w:rPr>
        <w:t xml:space="preserve">Unadjusted Detail Earnings Estimate History File to obtain analysts’ quarterly earnings forecasts and targeted price </w:t>
      </w:r>
      <w:r w:rsidR="0071765A" w:rsidRPr="0071765A">
        <w:rPr>
          <w:rFonts w:ascii="Times" w:hAnsi="Times"/>
          <w:color w:val="000000" w:themeColor="text1"/>
        </w:rPr>
        <w:t xml:space="preserve">forecast. We use </w:t>
      </w:r>
      <w:r w:rsidR="002037D2" w:rsidRPr="0071765A">
        <w:rPr>
          <w:rFonts w:ascii="Times" w:hAnsi="Times"/>
          <w:color w:val="000000" w:themeColor="text1"/>
        </w:rPr>
        <w:t>I/B/E/S Recommendation File to obtain analysts’ characteristics and IBES recommendation code (where 1 means strong buy and 5 means strong sell).</w:t>
      </w:r>
      <w:r w:rsidR="0071765A" w:rsidRPr="0071765A">
        <w:rPr>
          <w:rFonts w:ascii="Times" w:hAnsi="Times"/>
          <w:color w:val="000000" w:themeColor="text1"/>
        </w:rPr>
        <w:t xml:space="preserve"> A</w:t>
      </w:r>
      <w:r w:rsidR="0071765A">
        <w:rPr>
          <w:rFonts w:ascii="Times" w:hAnsi="Times"/>
        </w:rPr>
        <w:t>pplying</w:t>
      </w:r>
      <w:r w:rsidR="002037D2">
        <w:rPr>
          <w:rFonts w:ascii="Times" w:hAnsi="Times"/>
        </w:rPr>
        <w:t xml:space="preserve"> </w:t>
      </w:r>
      <w:proofErr w:type="spellStart"/>
      <w:r w:rsidR="002037D2">
        <w:rPr>
          <w:rFonts w:ascii="Times" w:hAnsi="Times"/>
        </w:rPr>
        <w:t>Compustat</w:t>
      </w:r>
      <w:proofErr w:type="spellEnd"/>
      <w:r w:rsidR="002037D2">
        <w:rPr>
          <w:rFonts w:ascii="Times" w:hAnsi="Times"/>
        </w:rPr>
        <w:t xml:space="preserve"> North America Fundamentals dataset</w:t>
      </w:r>
      <w:r w:rsidR="0071765A">
        <w:rPr>
          <w:rFonts w:ascii="Times" w:hAnsi="Times"/>
        </w:rPr>
        <w:t xml:space="preserve">, </w:t>
      </w:r>
      <w:r w:rsidR="002037D2">
        <w:rPr>
          <w:rFonts w:ascii="Times" w:hAnsi="Times"/>
        </w:rPr>
        <w:t>the quarterly firms’ basic accounting information data</w:t>
      </w:r>
      <w:r w:rsidR="0071765A">
        <w:rPr>
          <w:rFonts w:ascii="Times" w:hAnsi="Times"/>
        </w:rPr>
        <w:t xml:space="preserve"> are obtained</w:t>
      </w:r>
      <w:r w:rsidR="002037D2">
        <w:rPr>
          <w:rFonts w:ascii="Times" w:hAnsi="Times"/>
        </w:rPr>
        <w:t>. Our sample period is from 199</w:t>
      </w:r>
      <w:r w:rsidR="006D7B5A">
        <w:rPr>
          <w:rFonts w:ascii="Times" w:hAnsi="Times"/>
        </w:rPr>
        <w:t>9</w:t>
      </w:r>
      <w:r w:rsidR="002037D2">
        <w:rPr>
          <w:rFonts w:ascii="Times" w:hAnsi="Times"/>
        </w:rPr>
        <w:t xml:space="preserve"> to 2020. </w:t>
      </w:r>
    </w:p>
    <w:p w14:paraId="1FB02B8A" w14:textId="448308A0" w:rsidR="002037D2" w:rsidRDefault="002037D2" w:rsidP="002037D2">
      <w:pPr>
        <w:jc w:val="both"/>
        <w:rPr>
          <w:rFonts w:ascii="Times" w:hAnsi="Times"/>
        </w:rPr>
      </w:pPr>
    </w:p>
    <w:tbl>
      <w:tblPr>
        <w:tblStyle w:val="a4"/>
        <w:tblW w:w="0" w:type="auto"/>
        <w:tblBorders>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2269"/>
        <w:gridCol w:w="5770"/>
        <w:gridCol w:w="1321"/>
      </w:tblGrid>
      <w:tr w:rsidR="00826657" w14:paraId="087D6449" w14:textId="77777777" w:rsidTr="00D40646">
        <w:tc>
          <w:tcPr>
            <w:tcW w:w="0" w:type="auto"/>
            <w:gridSpan w:val="3"/>
            <w:tcBorders>
              <w:top w:val="single" w:sz="8" w:space="0" w:color="000000"/>
            </w:tcBorders>
            <w:vAlign w:val="center"/>
          </w:tcPr>
          <w:p w14:paraId="3B38AE24" w14:textId="70C31243" w:rsidR="00826657" w:rsidRDefault="006E7723" w:rsidP="00265B5C">
            <w:pPr>
              <w:jc w:val="center"/>
              <w:rPr>
                <w:rFonts w:ascii="Times" w:hAnsi="Times"/>
              </w:rPr>
            </w:pPr>
            <w:r>
              <w:rPr>
                <w:rFonts w:ascii="Times" w:hAnsi="Times"/>
              </w:rPr>
              <w:t xml:space="preserve">Raw </w:t>
            </w:r>
            <w:r w:rsidR="00265B5C">
              <w:rPr>
                <w:rFonts w:ascii="Times" w:hAnsi="Times"/>
              </w:rPr>
              <w:t>Data</w:t>
            </w:r>
            <w:r w:rsidR="00826657">
              <w:rPr>
                <w:rFonts w:ascii="Times" w:hAnsi="Times"/>
              </w:rPr>
              <w:t xml:space="preserve"> Definitions</w:t>
            </w:r>
          </w:p>
        </w:tc>
      </w:tr>
      <w:tr w:rsidR="00826657" w14:paraId="64308BA2" w14:textId="77777777" w:rsidTr="00D40646">
        <w:tc>
          <w:tcPr>
            <w:tcW w:w="0" w:type="auto"/>
            <w:tcBorders>
              <w:top w:val="single" w:sz="4" w:space="0" w:color="000000"/>
              <w:bottom w:val="single" w:sz="4" w:space="0" w:color="000000"/>
            </w:tcBorders>
            <w:vAlign w:val="center"/>
          </w:tcPr>
          <w:p w14:paraId="4D7D09C1" w14:textId="79D433EE" w:rsidR="00826657" w:rsidRDefault="00826657" w:rsidP="00826657">
            <w:pPr>
              <w:rPr>
                <w:rFonts w:ascii="Times" w:hAnsi="Times"/>
              </w:rPr>
            </w:pPr>
            <w:r>
              <w:rPr>
                <w:rFonts w:ascii="Times" w:hAnsi="Times"/>
              </w:rPr>
              <w:t>Name</w:t>
            </w:r>
          </w:p>
        </w:tc>
        <w:tc>
          <w:tcPr>
            <w:tcW w:w="0" w:type="auto"/>
            <w:tcBorders>
              <w:top w:val="single" w:sz="4" w:space="0" w:color="000000"/>
              <w:bottom w:val="single" w:sz="4" w:space="0" w:color="000000"/>
            </w:tcBorders>
            <w:vAlign w:val="center"/>
          </w:tcPr>
          <w:p w14:paraId="50EC04A8" w14:textId="086E9893" w:rsidR="00826657" w:rsidRDefault="00826657" w:rsidP="00826657">
            <w:pPr>
              <w:rPr>
                <w:rFonts w:ascii="Times" w:hAnsi="Times"/>
              </w:rPr>
            </w:pPr>
            <w:r>
              <w:rPr>
                <w:rFonts w:ascii="Times" w:hAnsi="Times"/>
              </w:rPr>
              <w:t>Definition</w:t>
            </w:r>
          </w:p>
        </w:tc>
        <w:tc>
          <w:tcPr>
            <w:tcW w:w="0" w:type="auto"/>
            <w:tcBorders>
              <w:top w:val="single" w:sz="4" w:space="0" w:color="000000"/>
              <w:bottom w:val="single" w:sz="4" w:space="0" w:color="000000"/>
            </w:tcBorders>
            <w:vAlign w:val="center"/>
          </w:tcPr>
          <w:p w14:paraId="097B8F2E" w14:textId="6FCD71F0" w:rsidR="00826657" w:rsidRDefault="00826657" w:rsidP="00826657">
            <w:pPr>
              <w:rPr>
                <w:rFonts w:ascii="Times" w:hAnsi="Times"/>
              </w:rPr>
            </w:pPr>
            <w:r>
              <w:rPr>
                <w:rFonts w:ascii="Times" w:hAnsi="Times"/>
              </w:rPr>
              <w:t>Data Source</w:t>
            </w:r>
          </w:p>
        </w:tc>
      </w:tr>
      <w:tr w:rsidR="00826657" w14:paraId="19BB4D1A" w14:textId="77777777" w:rsidTr="00D40646">
        <w:tc>
          <w:tcPr>
            <w:tcW w:w="0" w:type="auto"/>
            <w:tcBorders>
              <w:top w:val="single" w:sz="4" w:space="0" w:color="000000"/>
            </w:tcBorders>
            <w:vAlign w:val="center"/>
          </w:tcPr>
          <w:p w14:paraId="3569C156" w14:textId="63D92009" w:rsidR="00826657" w:rsidRDefault="00826657" w:rsidP="00826657">
            <w:pPr>
              <w:rPr>
                <w:rFonts w:ascii="Times" w:hAnsi="Times"/>
              </w:rPr>
            </w:pPr>
            <w:r>
              <w:rPr>
                <w:rFonts w:ascii="Times" w:hAnsi="Times"/>
              </w:rPr>
              <w:t>EPS</w:t>
            </w:r>
          </w:p>
        </w:tc>
        <w:tc>
          <w:tcPr>
            <w:tcW w:w="0" w:type="auto"/>
            <w:tcBorders>
              <w:top w:val="single" w:sz="4" w:space="0" w:color="000000"/>
            </w:tcBorders>
            <w:vAlign w:val="center"/>
          </w:tcPr>
          <w:p w14:paraId="352AC0E8" w14:textId="5B1C7AF6" w:rsidR="00826657" w:rsidRDefault="00826657" w:rsidP="00826657">
            <w:pPr>
              <w:rPr>
                <w:rFonts w:ascii="Times" w:hAnsi="Times"/>
              </w:rPr>
            </w:pPr>
            <w:r>
              <w:rPr>
                <w:rFonts w:ascii="Times" w:hAnsi="Times"/>
              </w:rPr>
              <w:t>Earnings per share forecast</w:t>
            </w:r>
          </w:p>
        </w:tc>
        <w:tc>
          <w:tcPr>
            <w:tcW w:w="0" w:type="auto"/>
            <w:tcBorders>
              <w:top w:val="single" w:sz="4" w:space="0" w:color="000000"/>
            </w:tcBorders>
            <w:vAlign w:val="center"/>
          </w:tcPr>
          <w:p w14:paraId="443754C1" w14:textId="2C369C74" w:rsidR="00826657" w:rsidRDefault="00826657" w:rsidP="00826657">
            <w:pPr>
              <w:rPr>
                <w:rFonts w:ascii="Times" w:hAnsi="Times"/>
              </w:rPr>
            </w:pPr>
            <w:r>
              <w:rPr>
                <w:rFonts w:ascii="Times" w:hAnsi="Times"/>
              </w:rPr>
              <w:t>I/B/E/S</w:t>
            </w:r>
          </w:p>
        </w:tc>
      </w:tr>
      <w:tr w:rsidR="00826657" w14:paraId="2BE03066" w14:textId="77777777" w:rsidTr="00D40646">
        <w:tc>
          <w:tcPr>
            <w:tcW w:w="0" w:type="auto"/>
            <w:vAlign w:val="center"/>
          </w:tcPr>
          <w:p w14:paraId="4189A1E2" w14:textId="4CE80A23" w:rsidR="00826657" w:rsidRDefault="00826657" w:rsidP="00826657">
            <w:pPr>
              <w:rPr>
                <w:rFonts w:ascii="Times" w:hAnsi="Times"/>
              </w:rPr>
            </w:pPr>
            <w:r>
              <w:rPr>
                <w:rFonts w:ascii="Times" w:hAnsi="Times"/>
              </w:rPr>
              <w:t>SPT</w:t>
            </w:r>
          </w:p>
        </w:tc>
        <w:tc>
          <w:tcPr>
            <w:tcW w:w="0" w:type="auto"/>
            <w:vAlign w:val="center"/>
          </w:tcPr>
          <w:p w14:paraId="581420DC" w14:textId="0BE350A5" w:rsidR="00826657" w:rsidRDefault="00826657" w:rsidP="00826657">
            <w:pPr>
              <w:rPr>
                <w:rFonts w:ascii="Times" w:hAnsi="Times"/>
              </w:rPr>
            </w:pPr>
            <w:r>
              <w:rPr>
                <w:rFonts w:ascii="Times" w:hAnsi="Times"/>
              </w:rPr>
              <w:t>Share price</w:t>
            </w:r>
            <w:r w:rsidR="004471AD">
              <w:rPr>
                <w:rFonts w:ascii="Times" w:hAnsi="Times"/>
              </w:rPr>
              <w:t xml:space="preserve"> target</w:t>
            </w:r>
            <w:r>
              <w:rPr>
                <w:rFonts w:ascii="Times" w:hAnsi="Times"/>
              </w:rPr>
              <w:t xml:space="preserve"> forecast</w:t>
            </w:r>
          </w:p>
        </w:tc>
        <w:tc>
          <w:tcPr>
            <w:tcW w:w="0" w:type="auto"/>
            <w:vAlign w:val="center"/>
          </w:tcPr>
          <w:p w14:paraId="173D75E3" w14:textId="297CB457" w:rsidR="00826657" w:rsidRDefault="00826657" w:rsidP="00826657">
            <w:pPr>
              <w:rPr>
                <w:rFonts w:ascii="Times" w:hAnsi="Times"/>
              </w:rPr>
            </w:pPr>
            <w:r>
              <w:rPr>
                <w:rFonts w:ascii="Times" w:hAnsi="Times"/>
              </w:rPr>
              <w:t>I/B/E/S</w:t>
            </w:r>
          </w:p>
        </w:tc>
      </w:tr>
      <w:tr w:rsidR="00826657" w14:paraId="644BDA62" w14:textId="77777777" w:rsidTr="00D40646">
        <w:tc>
          <w:tcPr>
            <w:tcW w:w="0" w:type="auto"/>
            <w:vAlign w:val="center"/>
          </w:tcPr>
          <w:p w14:paraId="52AD95F7" w14:textId="13D65B4C" w:rsidR="00826657" w:rsidRDefault="00826657" w:rsidP="00826657">
            <w:pPr>
              <w:rPr>
                <w:rFonts w:ascii="Times" w:hAnsi="Times"/>
              </w:rPr>
            </w:pPr>
            <w:r>
              <w:rPr>
                <w:rFonts w:ascii="Times" w:hAnsi="Times"/>
              </w:rPr>
              <w:t>Recommendation</w:t>
            </w:r>
          </w:p>
        </w:tc>
        <w:tc>
          <w:tcPr>
            <w:tcW w:w="0" w:type="auto"/>
            <w:vAlign w:val="center"/>
          </w:tcPr>
          <w:p w14:paraId="5FC104C9" w14:textId="3D81A895" w:rsidR="00826657" w:rsidRDefault="00826657" w:rsidP="00826657">
            <w:pPr>
              <w:rPr>
                <w:rFonts w:ascii="Times" w:hAnsi="Times"/>
              </w:rPr>
            </w:pPr>
            <w:r>
              <w:rPr>
                <w:rFonts w:ascii="Times" w:hAnsi="Times"/>
              </w:rPr>
              <w:t>Indicator variables.</w:t>
            </w:r>
          </w:p>
          <w:p w14:paraId="685F078F" w14:textId="3ED3D5E2" w:rsidR="00826657" w:rsidRDefault="00826657" w:rsidP="00826657">
            <w:pPr>
              <w:rPr>
                <w:rFonts w:ascii="Times" w:hAnsi="Times"/>
              </w:rPr>
            </w:pPr>
          </w:p>
        </w:tc>
        <w:tc>
          <w:tcPr>
            <w:tcW w:w="0" w:type="auto"/>
            <w:vAlign w:val="center"/>
          </w:tcPr>
          <w:p w14:paraId="20B1E932" w14:textId="301F3E4E" w:rsidR="00826657" w:rsidRDefault="00826657" w:rsidP="00826657">
            <w:pPr>
              <w:rPr>
                <w:rFonts w:ascii="Times" w:hAnsi="Times"/>
              </w:rPr>
            </w:pPr>
            <w:r>
              <w:rPr>
                <w:rFonts w:ascii="Times" w:hAnsi="Times"/>
              </w:rPr>
              <w:t>I/B/E/S</w:t>
            </w:r>
          </w:p>
        </w:tc>
      </w:tr>
      <w:tr w:rsidR="00826657" w14:paraId="4941B232" w14:textId="77777777" w:rsidTr="00D40646">
        <w:tc>
          <w:tcPr>
            <w:tcW w:w="0" w:type="auto"/>
            <w:vAlign w:val="center"/>
          </w:tcPr>
          <w:p w14:paraId="1C5517CF" w14:textId="0C13645F" w:rsidR="00826657" w:rsidRDefault="006A29AF" w:rsidP="00826657">
            <w:pPr>
              <w:pStyle w:val="a5"/>
            </w:pPr>
            <w:proofErr w:type="spellStart"/>
            <w:r>
              <w:rPr>
                <w:rFonts w:ascii="TimesNewRomanPSMT" w:hAnsi="TimesNewRomanPSMT"/>
              </w:rPr>
              <w:t>Wor</w:t>
            </w:r>
            <w:r w:rsidR="00C36893">
              <w:rPr>
                <w:rFonts w:ascii="TimesNewRomanPSMT" w:hAnsi="TimesNewRomanPSMT"/>
              </w:rPr>
              <w:t>k</w:t>
            </w:r>
            <w:r>
              <w:rPr>
                <w:rFonts w:ascii="TimesNewRomanPSMT" w:hAnsi="TimesNewRomanPSMT"/>
              </w:rPr>
              <w:t>ing_</w:t>
            </w:r>
            <w:r w:rsidR="00826657">
              <w:rPr>
                <w:rFonts w:ascii="TimesNewRomanPSMT" w:hAnsi="TimesNewRomanPSMT"/>
              </w:rPr>
              <w:t>Experience</w:t>
            </w:r>
            <w:proofErr w:type="spellEnd"/>
          </w:p>
          <w:p w14:paraId="14A8EBE6" w14:textId="77777777" w:rsidR="00826657" w:rsidRDefault="00826657" w:rsidP="00826657">
            <w:pPr>
              <w:rPr>
                <w:rFonts w:ascii="Times" w:hAnsi="Times"/>
              </w:rPr>
            </w:pPr>
          </w:p>
        </w:tc>
        <w:tc>
          <w:tcPr>
            <w:tcW w:w="0" w:type="auto"/>
            <w:vAlign w:val="center"/>
          </w:tcPr>
          <w:p w14:paraId="56D8A66D" w14:textId="583DAC71" w:rsidR="00826657" w:rsidRDefault="00CB6E6F" w:rsidP="00826657">
            <w:pPr>
              <w:pStyle w:val="a5"/>
            </w:pPr>
            <w:r>
              <w:rPr>
                <w:rFonts w:ascii="TimesNewRomanPSMT" w:hAnsi="TimesNewRomanPSMT"/>
              </w:rPr>
              <w:t>T</w:t>
            </w:r>
            <w:r w:rsidR="00826657">
              <w:rPr>
                <w:rFonts w:ascii="TimesNewRomanPSMT" w:hAnsi="TimesNewRomanPSMT"/>
              </w:rPr>
              <w:t>he number of years since the analyst appears in IBES recommendation file</w:t>
            </w:r>
          </w:p>
          <w:p w14:paraId="2F6E99C4" w14:textId="77777777" w:rsidR="00826657" w:rsidRDefault="00826657" w:rsidP="00826657">
            <w:pPr>
              <w:rPr>
                <w:rFonts w:ascii="Times" w:hAnsi="Times"/>
              </w:rPr>
            </w:pPr>
          </w:p>
        </w:tc>
        <w:tc>
          <w:tcPr>
            <w:tcW w:w="0" w:type="auto"/>
            <w:vAlign w:val="center"/>
          </w:tcPr>
          <w:p w14:paraId="410DCB6B" w14:textId="0CA2DBF7" w:rsidR="00826657" w:rsidRDefault="00CB6E6F" w:rsidP="00826657">
            <w:pPr>
              <w:rPr>
                <w:rFonts w:ascii="Times" w:hAnsi="Times"/>
              </w:rPr>
            </w:pPr>
            <w:r>
              <w:rPr>
                <w:rFonts w:ascii="Times" w:hAnsi="Times"/>
              </w:rPr>
              <w:t>I/B/E/S</w:t>
            </w:r>
          </w:p>
        </w:tc>
      </w:tr>
      <w:tr w:rsidR="006A29AF" w14:paraId="07586F4D" w14:textId="77777777" w:rsidTr="00D40646">
        <w:tc>
          <w:tcPr>
            <w:tcW w:w="0" w:type="auto"/>
            <w:vAlign w:val="center"/>
          </w:tcPr>
          <w:p w14:paraId="1432BA08" w14:textId="6AEDC656" w:rsidR="006A29AF" w:rsidRDefault="006A29AF" w:rsidP="00826657">
            <w:pPr>
              <w:rPr>
                <w:rFonts w:ascii="Times" w:hAnsi="Times"/>
              </w:rPr>
            </w:pPr>
            <w:proofErr w:type="spellStart"/>
            <w:r>
              <w:rPr>
                <w:rFonts w:ascii="Times" w:hAnsi="Times"/>
              </w:rPr>
              <w:t>Analyze_Experience</w:t>
            </w:r>
            <w:proofErr w:type="spellEnd"/>
            <w:r>
              <w:rPr>
                <w:rFonts w:ascii="Times" w:hAnsi="Times"/>
              </w:rPr>
              <w:t xml:space="preserve">  </w:t>
            </w:r>
          </w:p>
        </w:tc>
        <w:tc>
          <w:tcPr>
            <w:tcW w:w="0" w:type="auto"/>
            <w:vAlign w:val="center"/>
          </w:tcPr>
          <w:p w14:paraId="791792D4" w14:textId="690F5D9B" w:rsidR="006A29AF" w:rsidRDefault="006A29AF" w:rsidP="00826657">
            <w:pPr>
              <w:rPr>
                <w:rFonts w:ascii="Times" w:hAnsi="Times"/>
              </w:rPr>
            </w:pPr>
            <w:r>
              <w:rPr>
                <w:rFonts w:ascii="Times" w:hAnsi="Times"/>
              </w:rPr>
              <w:t>T</w:t>
            </w:r>
            <w:r w:rsidRPr="006A29AF">
              <w:rPr>
                <w:rFonts w:ascii="Times" w:hAnsi="Times"/>
              </w:rPr>
              <w:t>he number of years since the analyst provided his/her first recommendation for the given company.</w:t>
            </w:r>
          </w:p>
        </w:tc>
        <w:tc>
          <w:tcPr>
            <w:tcW w:w="0" w:type="auto"/>
            <w:vAlign w:val="center"/>
          </w:tcPr>
          <w:p w14:paraId="56B11D40" w14:textId="77777777" w:rsidR="00166D7A" w:rsidRDefault="00166D7A" w:rsidP="00826657">
            <w:pPr>
              <w:rPr>
                <w:rFonts w:ascii="Times" w:hAnsi="Times"/>
              </w:rPr>
            </w:pPr>
          </w:p>
          <w:p w14:paraId="1868CBA0" w14:textId="3E94348F" w:rsidR="006A29AF" w:rsidRDefault="006A29AF" w:rsidP="00826657">
            <w:pPr>
              <w:rPr>
                <w:rFonts w:ascii="Times" w:hAnsi="Times"/>
              </w:rPr>
            </w:pPr>
            <w:r>
              <w:rPr>
                <w:rFonts w:ascii="Times" w:hAnsi="Times"/>
              </w:rPr>
              <w:t>I/B/E/S</w:t>
            </w:r>
          </w:p>
        </w:tc>
      </w:tr>
      <w:tr w:rsidR="000D2855" w14:paraId="4E58EA2C" w14:textId="77777777" w:rsidTr="00D40646">
        <w:tc>
          <w:tcPr>
            <w:tcW w:w="0" w:type="auto"/>
            <w:vAlign w:val="center"/>
          </w:tcPr>
          <w:p w14:paraId="752009A0" w14:textId="7F4BBD8A" w:rsidR="000D2855" w:rsidRDefault="000D2855" w:rsidP="00826657">
            <w:pPr>
              <w:rPr>
                <w:rFonts w:ascii="Times" w:hAnsi="Times"/>
              </w:rPr>
            </w:pPr>
            <w:proofErr w:type="spellStart"/>
            <w:r>
              <w:rPr>
                <w:rFonts w:ascii="Times" w:hAnsi="Times"/>
              </w:rPr>
              <w:t>Company_Size</w:t>
            </w:r>
            <w:proofErr w:type="spellEnd"/>
          </w:p>
        </w:tc>
        <w:tc>
          <w:tcPr>
            <w:tcW w:w="0" w:type="auto"/>
            <w:vAlign w:val="center"/>
          </w:tcPr>
          <w:p w14:paraId="691E380F" w14:textId="14A037FB" w:rsidR="000D2855" w:rsidRDefault="00086480" w:rsidP="00826657">
            <w:pPr>
              <w:rPr>
                <w:rFonts w:ascii="Times" w:hAnsi="Times"/>
              </w:rPr>
            </w:pPr>
            <w:r>
              <w:rPr>
                <w:rFonts w:ascii="Times" w:hAnsi="Times"/>
              </w:rPr>
              <w:t>B</w:t>
            </w:r>
            <w:r w:rsidRPr="00086480">
              <w:rPr>
                <w:rFonts w:ascii="Times" w:hAnsi="Times"/>
              </w:rPr>
              <w:t>rokerage firm size</w:t>
            </w:r>
            <w:r>
              <w:rPr>
                <w:rFonts w:ascii="Times" w:hAnsi="Times"/>
              </w:rPr>
              <w:t xml:space="preserve">. It is the </w:t>
            </w:r>
            <w:r w:rsidRPr="00086480">
              <w:rPr>
                <w:rFonts w:ascii="Times" w:hAnsi="Times"/>
              </w:rPr>
              <w:t xml:space="preserve">number of analysts providing </w:t>
            </w:r>
            <w:r>
              <w:rPr>
                <w:rFonts w:ascii="Times" w:hAnsi="Times"/>
              </w:rPr>
              <w:t>forecast</w:t>
            </w:r>
            <w:r w:rsidRPr="00086480">
              <w:rPr>
                <w:rFonts w:ascii="Times" w:hAnsi="Times"/>
              </w:rPr>
              <w:t xml:space="preserve"> for the given company in a given year.</w:t>
            </w:r>
          </w:p>
        </w:tc>
        <w:tc>
          <w:tcPr>
            <w:tcW w:w="0" w:type="auto"/>
            <w:vAlign w:val="center"/>
          </w:tcPr>
          <w:p w14:paraId="475977E2" w14:textId="6A908FFC" w:rsidR="000D2855" w:rsidRDefault="00086480" w:rsidP="00826657">
            <w:pPr>
              <w:rPr>
                <w:rFonts w:ascii="Times" w:hAnsi="Times"/>
              </w:rPr>
            </w:pPr>
            <w:r>
              <w:rPr>
                <w:rFonts w:ascii="Times" w:hAnsi="Times"/>
              </w:rPr>
              <w:t>I/B/E/S</w:t>
            </w:r>
          </w:p>
        </w:tc>
      </w:tr>
      <w:tr w:rsidR="00CB6E6F" w14:paraId="2DB8A6BF" w14:textId="77777777" w:rsidTr="00D40646">
        <w:tc>
          <w:tcPr>
            <w:tcW w:w="0" w:type="auto"/>
            <w:vAlign w:val="center"/>
          </w:tcPr>
          <w:p w14:paraId="2C9EB7B2" w14:textId="665BEA57" w:rsidR="00CB6E6F" w:rsidRDefault="00CB6E6F" w:rsidP="00CB6E6F">
            <w:pPr>
              <w:rPr>
                <w:rFonts w:ascii="Times" w:hAnsi="Times"/>
              </w:rPr>
            </w:pPr>
            <w:r>
              <w:rPr>
                <w:rFonts w:ascii="Times" w:hAnsi="Times"/>
              </w:rPr>
              <w:t>BM</w:t>
            </w:r>
          </w:p>
        </w:tc>
        <w:tc>
          <w:tcPr>
            <w:tcW w:w="0" w:type="auto"/>
            <w:vAlign w:val="center"/>
          </w:tcPr>
          <w:p w14:paraId="5FF9F4C3" w14:textId="24E680C3" w:rsidR="00CB6E6F" w:rsidRDefault="00CB6E6F" w:rsidP="00CB6E6F">
            <w:pPr>
              <w:rPr>
                <w:rFonts w:ascii="Times" w:hAnsi="Times"/>
              </w:rPr>
            </w:pPr>
            <w:r>
              <w:rPr>
                <w:rFonts w:ascii="Times" w:hAnsi="Times"/>
              </w:rPr>
              <w:t>B</w:t>
            </w:r>
            <w:r w:rsidRPr="00CB6E6F">
              <w:rPr>
                <w:rFonts w:ascii="Times" w:hAnsi="Times"/>
              </w:rPr>
              <w:t>ook-to-market ratio</w:t>
            </w:r>
          </w:p>
        </w:tc>
        <w:tc>
          <w:tcPr>
            <w:tcW w:w="0" w:type="auto"/>
            <w:vAlign w:val="center"/>
          </w:tcPr>
          <w:p w14:paraId="132FD986" w14:textId="27928C17" w:rsidR="00CB6E6F" w:rsidRDefault="00A92C55" w:rsidP="00CB6E6F">
            <w:pPr>
              <w:rPr>
                <w:rFonts w:ascii="Times" w:hAnsi="Times"/>
              </w:rPr>
            </w:pPr>
            <w:proofErr w:type="spellStart"/>
            <w:r>
              <w:rPr>
                <w:rFonts w:ascii="Times" w:hAnsi="Times"/>
              </w:rPr>
              <w:t>Compustat</w:t>
            </w:r>
            <w:proofErr w:type="spellEnd"/>
          </w:p>
        </w:tc>
      </w:tr>
      <w:tr w:rsidR="00CB6E6F" w14:paraId="166ADFEC" w14:textId="77777777" w:rsidTr="00D40646">
        <w:tc>
          <w:tcPr>
            <w:tcW w:w="0" w:type="auto"/>
            <w:vAlign w:val="center"/>
          </w:tcPr>
          <w:p w14:paraId="04B36397" w14:textId="4C70BD4A" w:rsidR="00CB6E6F" w:rsidRDefault="000D2855" w:rsidP="00CB6E6F">
            <w:pPr>
              <w:rPr>
                <w:rFonts w:ascii="Times" w:hAnsi="Times"/>
              </w:rPr>
            </w:pPr>
            <w:proofErr w:type="spellStart"/>
            <w:r>
              <w:rPr>
                <w:rFonts w:ascii="Times" w:hAnsi="Times"/>
              </w:rPr>
              <w:t>Firm_</w:t>
            </w:r>
            <w:r w:rsidR="00A92C55">
              <w:rPr>
                <w:rFonts w:ascii="Times" w:hAnsi="Times"/>
              </w:rPr>
              <w:t>Size</w:t>
            </w:r>
            <w:proofErr w:type="spellEnd"/>
          </w:p>
        </w:tc>
        <w:tc>
          <w:tcPr>
            <w:tcW w:w="0" w:type="auto"/>
            <w:vAlign w:val="center"/>
          </w:tcPr>
          <w:p w14:paraId="7100470F" w14:textId="20F88CB1" w:rsidR="00CB6E6F" w:rsidRDefault="00A92C55" w:rsidP="00CB6E6F">
            <w:pPr>
              <w:rPr>
                <w:rFonts w:ascii="Times" w:hAnsi="Times"/>
              </w:rPr>
            </w:pPr>
            <w:r>
              <w:rPr>
                <w:rFonts w:ascii="Times" w:hAnsi="Times"/>
              </w:rPr>
              <w:t>Natural log of market value</w:t>
            </w:r>
          </w:p>
        </w:tc>
        <w:tc>
          <w:tcPr>
            <w:tcW w:w="0" w:type="auto"/>
            <w:vAlign w:val="center"/>
          </w:tcPr>
          <w:p w14:paraId="32B2F4EC" w14:textId="3C151158" w:rsidR="00CB6E6F" w:rsidRDefault="00A92C55" w:rsidP="00CB6E6F">
            <w:pPr>
              <w:rPr>
                <w:rFonts w:ascii="Times" w:hAnsi="Times"/>
              </w:rPr>
            </w:pPr>
            <w:proofErr w:type="spellStart"/>
            <w:r>
              <w:rPr>
                <w:rFonts w:ascii="Times" w:hAnsi="Times"/>
              </w:rPr>
              <w:t>Compustat</w:t>
            </w:r>
            <w:proofErr w:type="spellEnd"/>
          </w:p>
        </w:tc>
      </w:tr>
      <w:tr w:rsidR="00A92C55" w14:paraId="6F48127D" w14:textId="77777777" w:rsidTr="00D40646">
        <w:tc>
          <w:tcPr>
            <w:tcW w:w="0" w:type="auto"/>
            <w:vAlign w:val="center"/>
          </w:tcPr>
          <w:p w14:paraId="40D4DD93" w14:textId="2E08ED57" w:rsidR="00A92C55" w:rsidRDefault="00A92C55" w:rsidP="00CB6E6F">
            <w:pPr>
              <w:rPr>
                <w:rFonts w:ascii="Times" w:hAnsi="Times"/>
              </w:rPr>
            </w:pPr>
            <w:r>
              <w:rPr>
                <w:rFonts w:ascii="Times" w:hAnsi="Times"/>
              </w:rPr>
              <w:t>Turnover</w:t>
            </w:r>
          </w:p>
        </w:tc>
        <w:tc>
          <w:tcPr>
            <w:tcW w:w="0" w:type="auto"/>
            <w:vAlign w:val="center"/>
          </w:tcPr>
          <w:p w14:paraId="42C3E7D0" w14:textId="77777777" w:rsidR="00A92C55" w:rsidRPr="00A92C55" w:rsidRDefault="00A92C55" w:rsidP="00A92C55">
            <w:pPr>
              <w:rPr>
                <w:rFonts w:ascii="Times" w:hAnsi="Times"/>
              </w:rPr>
            </w:pPr>
            <w:r w:rsidRPr="00A92C55">
              <w:rPr>
                <w:rFonts w:ascii="Times" w:hAnsi="Times"/>
              </w:rPr>
              <w:t>Turnover is calculated as volume divided by</w:t>
            </w:r>
          </w:p>
          <w:p w14:paraId="41452C57" w14:textId="69FCA809" w:rsidR="00A92C55" w:rsidRDefault="00A92C55" w:rsidP="00A92C55">
            <w:pPr>
              <w:rPr>
                <w:rFonts w:ascii="Times" w:hAnsi="Times"/>
              </w:rPr>
            </w:pPr>
            <w:r w:rsidRPr="00A92C55">
              <w:rPr>
                <w:rFonts w:ascii="Times" w:hAnsi="Times"/>
              </w:rPr>
              <w:t>shares outstanding</w:t>
            </w:r>
          </w:p>
        </w:tc>
        <w:tc>
          <w:tcPr>
            <w:tcW w:w="0" w:type="auto"/>
            <w:vAlign w:val="center"/>
          </w:tcPr>
          <w:p w14:paraId="15C2DA94" w14:textId="24E553CF" w:rsidR="00A92C55" w:rsidRDefault="00A92C55" w:rsidP="00CB6E6F">
            <w:pPr>
              <w:rPr>
                <w:rFonts w:ascii="Times" w:hAnsi="Times"/>
              </w:rPr>
            </w:pPr>
            <w:proofErr w:type="spellStart"/>
            <w:r>
              <w:rPr>
                <w:rFonts w:ascii="Times" w:hAnsi="Times"/>
              </w:rPr>
              <w:t>Compustat</w:t>
            </w:r>
            <w:proofErr w:type="spellEnd"/>
          </w:p>
        </w:tc>
      </w:tr>
      <w:tr w:rsidR="00A92C55" w14:paraId="45738C27" w14:textId="77777777" w:rsidTr="00D40646">
        <w:tc>
          <w:tcPr>
            <w:tcW w:w="0" w:type="auto"/>
            <w:vAlign w:val="center"/>
          </w:tcPr>
          <w:p w14:paraId="0E618CA1" w14:textId="55C8C5E9" w:rsidR="00A92C55" w:rsidRDefault="00A92C55" w:rsidP="00CB6E6F">
            <w:pPr>
              <w:rPr>
                <w:rFonts w:ascii="Times" w:hAnsi="Times"/>
              </w:rPr>
            </w:pPr>
            <w:r>
              <w:rPr>
                <w:rFonts w:ascii="Times" w:hAnsi="Times"/>
              </w:rPr>
              <w:t>DE</w:t>
            </w:r>
          </w:p>
        </w:tc>
        <w:tc>
          <w:tcPr>
            <w:tcW w:w="0" w:type="auto"/>
            <w:vAlign w:val="center"/>
          </w:tcPr>
          <w:p w14:paraId="4F5CB06A" w14:textId="3ADB0907" w:rsidR="00A92C55" w:rsidRDefault="00A92C55" w:rsidP="00CB6E6F">
            <w:pPr>
              <w:rPr>
                <w:rFonts w:ascii="Times" w:hAnsi="Times"/>
              </w:rPr>
            </w:pPr>
            <w:r>
              <w:rPr>
                <w:rFonts w:ascii="Times" w:hAnsi="Times"/>
              </w:rPr>
              <w:t>Debt to equity</w:t>
            </w:r>
          </w:p>
        </w:tc>
        <w:tc>
          <w:tcPr>
            <w:tcW w:w="0" w:type="auto"/>
            <w:vAlign w:val="center"/>
          </w:tcPr>
          <w:p w14:paraId="31E8A7A1" w14:textId="2550C34B" w:rsidR="00A92C55" w:rsidRDefault="00A92C55" w:rsidP="00CB6E6F">
            <w:pPr>
              <w:rPr>
                <w:rFonts w:ascii="Times" w:hAnsi="Times"/>
              </w:rPr>
            </w:pPr>
            <w:proofErr w:type="spellStart"/>
            <w:r>
              <w:rPr>
                <w:rFonts w:ascii="Times" w:hAnsi="Times"/>
              </w:rPr>
              <w:t>Compustat</w:t>
            </w:r>
            <w:proofErr w:type="spellEnd"/>
          </w:p>
        </w:tc>
      </w:tr>
      <w:tr w:rsidR="00A92C55" w14:paraId="6E7F5F4D" w14:textId="77777777" w:rsidTr="00D40646">
        <w:tc>
          <w:tcPr>
            <w:tcW w:w="0" w:type="auto"/>
            <w:tcBorders>
              <w:bottom w:val="single" w:sz="8" w:space="0" w:color="000000"/>
            </w:tcBorders>
            <w:vAlign w:val="center"/>
          </w:tcPr>
          <w:p w14:paraId="18EAEE78" w14:textId="62931B00" w:rsidR="00A92C55" w:rsidRDefault="000D2855" w:rsidP="00CB6E6F">
            <w:pPr>
              <w:rPr>
                <w:rFonts w:ascii="Times" w:hAnsi="Times"/>
              </w:rPr>
            </w:pPr>
            <w:r>
              <w:rPr>
                <w:rFonts w:ascii="Times" w:hAnsi="Times"/>
              </w:rPr>
              <w:t>SA</w:t>
            </w:r>
          </w:p>
        </w:tc>
        <w:tc>
          <w:tcPr>
            <w:tcW w:w="0" w:type="auto"/>
            <w:tcBorders>
              <w:bottom w:val="single" w:sz="8" w:space="0" w:color="000000"/>
            </w:tcBorders>
            <w:vAlign w:val="center"/>
          </w:tcPr>
          <w:p w14:paraId="07CB3F99" w14:textId="06EB9B94" w:rsidR="00A92C55" w:rsidRDefault="000D2855" w:rsidP="00CB6E6F">
            <w:pPr>
              <w:rPr>
                <w:rFonts w:ascii="Times" w:hAnsi="Times"/>
              </w:rPr>
            </w:pPr>
            <w:r>
              <w:rPr>
                <w:rFonts w:ascii="Times" w:hAnsi="Times"/>
              </w:rPr>
              <w:t>Sales to total assets</w:t>
            </w:r>
          </w:p>
        </w:tc>
        <w:tc>
          <w:tcPr>
            <w:tcW w:w="0" w:type="auto"/>
            <w:tcBorders>
              <w:bottom w:val="single" w:sz="8" w:space="0" w:color="000000"/>
            </w:tcBorders>
            <w:vAlign w:val="center"/>
          </w:tcPr>
          <w:p w14:paraId="1B53876F" w14:textId="5164BBAB" w:rsidR="00A92C55" w:rsidRDefault="000D2855" w:rsidP="00CB6E6F">
            <w:pPr>
              <w:rPr>
                <w:rFonts w:ascii="Times" w:hAnsi="Times"/>
              </w:rPr>
            </w:pPr>
            <w:proofErr w:type="spellStart"/>
            <w:r>
              <w:rPr>
                <w:rFonts w:ascii="Times" w:hAnsi="Times"/>
              </w:rPr>
              <w:t>Compustat</w:t>
            </w:r>
            <w:proofErr w:type="spellEnd"/>
          </w:p>
        </w:tc>
      </w:tr>
    </w:tbl>
    <w:p w14:paraId="71EEC481" w14:textId="77777777" w:rsidR="002037D2" w:rsidRDefault="002037D2" w:rsidP="002037D2">
      <w:pPr>
        <w:jc w:val="both"/>
        <w:rPr>
          <w:rFonts w:ascii="Times" w:hAnsi="Times"/>
        </w:rPr>
      </w:pPr>
    </w:p>
    <w:p w14:paraId="4104A53E" w14:textId="7FA30C22" w:rsidR="00961CF5" w:rsidRDefault="006A29AF" w:rsidP="00C30FB0">
      <w:pPr>
        <w:ind w:firstLine="720"/>
        <w:jc w:val="both"/>
        <w:rPr>
          <w:rFonts w:ascii="Times" w:hAnsi="Times"/>
        </w:rPr>
      </w:pPr>
      <w:r>
        <w:rPr>
          <w:rFonts w:ascii="Times" w:hAnsi="Times"/>
        </w:rPr>
        <w:t xml:space="preserve">We clean the 2019-2020 subsample, and we find 160 observations satisfy our setting. </w:t>
      </w:r>
      <w:r w:rsidR="002B73E7">
        <w:rPr>
          <w:rFonts w:ascii="Times" w:hAnsi="Times"/>
        </w:rPr>
        <w:t>So, we are confident that our full-sample data contains enough observations.</w:t>
      </w:r>
    </w:p>
    <w:p w14:paraId="2D157C0C" w14:textId="77777777" w:rsidR="00977B32" w:rsidRDefault="00977B32" w:rsidP="00C30FB0">
      <w:pPr>
        <w:ind w:firstLine="720"/>
        <w:jc w:val="both"/>
        <w:rPr>
          <w:rFonts w:ascii="Times" w:hAnsi="Times"/>
        </w:rPr>
      </w:pPr>
    </w:p>
    <w:p w14:paraId="29DF647A" w14:textId="1467BA97" w:rsidR="00230EB0" w:rsidRDefault="00230EB0" w:rsidP="00C30FB0">
      <w:pPr>
        <w:ind w:firstLine="720"/>
        <w:jc w:val="both"/>
        <w:rPr>
          <w:rFonts w:ascii="Times" w:hAnsi="Times"/>
        </w:rPr>
      </w:pPr>
      <w:r w:rsidRPr="00230EB0">
        <w:rPr>
          <w:rFonts w:ascii="Times" w:hAnsi="Times"/>
        </w:rPr>
        <w:t>Our research question seeks to understand</w:t>
      </w:r>
      <w:r>
        <w:rPr>
          <w:rFonts w:ascii="Times" w:hAnsi="Times"/>
        </w:rPr>
        <w:t xml:space="preserve"> the source of analysts’ forecast dispersion. We address this question by regression the analysts’ forecast dispersion on their characteristics including whether they belonged to the same broker firm, the difference of their working experience, the difference between their analyst experience and some firm specific controlled variables. We estimate the following model. </w:t>
      </w:r>
      <w:r w:rsidR="00EC2DBC">
        <w:rPr>
          <w:rFonts w:ascii="Times" w:hAnsi="Times"/>
        </w:rPr>
        <w:t>We are going to estimate OLS model:</w:t>
      </w:r>
    </w:p>
    <w:p w14:paraId="19D89304" w14:textId="77777777" w:rsidR="002B73E7" w:rsidRDefault="002B73E7" w:rsidP="00961CF5">
      <w:pPr>
        <w:rPr>
          <w:rFonts w:ascii="Times" w:hAnsi="Times"/>
        </w:rPr>
      </w:pPr>
    </w:p>
    <w:p w14:paraId="5A435EEF" w14:textId="59A5C0AD" w:rsidR="00227E10" w:rsidRPr="00265B5C" w:rsidRDefault="0094217D" w:rsidP="00961CF5">
      <w:pPr>
        <w:rPr>
          <w:rFonts w:ascii="Times" w:hAnsi="Times"/>
        </w:rPr>
      </w:pPr>
      <m:oMathPara>
        <m:oMath>
          <m:sSub>
            <m:sSubPr>
              <m:ctrlPr>
                <w:rPr>
                  <w:rFonts w:ascii="Cambria Math" w:hAnsi="Cambria Math"/>
                  <w:i/>
                </w:rPr>
              </m:ctrlPr>
            </m:sSubPr>
            <m:e>
              <m:r>
                <w:rPr>
                  <w:rFonts w:ascii="Cambria Math" w:hAnsi="Cambria Math"/>
                </w:rPr>
                <m:t>Dispersion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ICompany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IWorking</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IAnalyst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Controlled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14:paraId="458BFB60" w14:textId="77777777" w:rsidR="002B73E7" w:rsidRDefault="002B73E7" w:rsidP="00961CF5">
      <w:pPr>
        <w:rPr>
          <w:rFonts w:ascii="Times" w:hAnsi="Times"/>
        </w:rPr>
      </w:pPr>
    </w:p>
    <w:p w14:paraId="46DD8902" w14:textId="4397557F" w:rsidR="00265B5C" w:rsidRDefault="0071765A" w:rsidP="00C30FB0">
      <w:pPr>
        <w:ind w:firstLine="720"/>
        <w:jc w:val="both"/>
        <w:rPr>
          <w:rFonts w:ascii="Times" w:hAnsi="Times"/>
        </w:rPr>
      </w:pPr>
      <w:r w:rsidRPr="0071765A">
        <w:rPr>
          <w:rFonts w:ascii="Times" w:hAnsi="Times"/>
        </w:rPr>
        <w:t xml:space="preserve">To exemplify our idea, analyst </w:t>
      </w:r>
      <w:proofErr w:type="spellStart"/>
      <w:r w:rsidRPr="0071765A">
        <w:rPr>
          <w:rFonts w:ascii="Times" w:hAnsi="Times"/>
        </w:rPr>
        <w:t>i</w:t>
      </w:r>
      <w:proofErr w:type="spellEnd"/>
      <w:r w:rsidRPr="0071765A">
        <w:rPr>
          <w:rFonts w:ascii="Times" w:hAnsi="Times"/>
        </w:rPr>
        <w:t xml:space="preserve"> revises his earnings forecast after analyst j issues a forecast. The dispersion is calculated as the difference between analyst i’s and j’s earnings forecast over the same firm. </w:t>
      </w:r>
      <w:r w:rsidR="00230EB0">
        <w:rPr>
          <w:rFonts w:ascii="Times" w:hAnsi="Times"/>
        </w:rPr>
        <w:t xml:space="preserve">We use three measures of dispersion, the difference of their earning per share forecast </w:t>
      </w:r>
      <w:r w:rsidR="00230EB0">
        <w:rPr>
          <w:rFonts w:ascii="Times" w:hAnsi="Times"/>
        </w:rPr>
        <w:lastRenderedPageBreak/>
        <w:t>(</w:t>
      </w:r>
      <m:oMath>
        <m:r>
          <w:rPr>
            <w:rFonts w:ascii="Cambria Math" w:hAnsi="Cambria Math"/>
          </w:rPr>
          <m:t>∆EPS</m:t>
        </m:r>
      </m:oMath>
      <w:r w:rsidR="00230EB0">
        <w:rPr>
          <w:rFonts w:ascii="Times" w:hAnsi="Times"/>
        </w:rPr>
        <w:t>), the difference between their share price forecast (</w:t>
      </w:r>
      <m:oMath>
        <m:r>
          <w:rPr>
            <w:rFonts w:ascii="Cambria Math" w:hAnsi="Cambria Math"/>
          </w:rPr>
          <m:t>∆SPT</m:t>
        </m:r>
      </m:oMath>
      <w:r w:rsidR="00230EB0">
        <w:rPr>
          <w:rFonts w:ascii="Times" w:hAnsi="Times"/>
        </w:rPr>
        <w:t xml:space="preserve">) and the </w:t>
      </w:r>
      <w:r w:rsidR="00230EB0" w:rsidRPr="00826657">
        <w:rPr>
          <w:rFonts w:ascii="Times" w:hAnsi="Times"/>
        </w:rPr>
        <w:t>difference between</w:t>
      </w:r>
      <w:r w:rsidR="00230EB0">
        <w:rPr>
          <w:rFonts w:ascii="Times" w:hAnsi="Times"/>
        </w:rPr>
        <w:t xml:space="preserve"> </w:t>
      </w:r>
      <w:r w:rsidR="00230EB0" w:rsidRPr="00826657">
        <w:rPr>
          <w:rFonts w:ascii="Times" w:hAnsi="Times"/>
        </w:rPr>
        <w:t>th</w:t>
      </w:r>
      <w:r w:rsidR="00230EB0">
        <w:rPr>
          <w:rFonts w:ascii="Times" w:hAnsi="Times"/>
        </w:rPr>
        <w:t>eir</w:t>
      </w:r>
      <w:r w:rsidR="00230EB0" w:rsidRPr="00826657">
        <w:rPr>
          <w:rFonts w:ascii="Times" w:hAnsi="Times"/>
        </w:rPr>
        <w:t xml:space="preserve"> recommendation </w:t>
      </w:r>
      <w:r w:rsidR="00230EB0">
        <w:rPr>
          <w:rFonts w:ascii="Times" w:hAnsi="Times"/>
        </w:rPr>
        <w:t>code (Bold).</w:t>
      </w:r>
      <w:r w:rsidR="00EC2DBC">
        <w:rPr>
          <w:rFonts w:ascii="Times" w:hAnsi="Times"/>
        </w:rPr>
        <w:t xml:space="preserve"> Considered that analysts may have similar short-term forecast, we are going to run these regressions for different forecast horizons. For example, we are going to use (</w:t>
      </w:r>
      <m:oMath>
        <m:r>
          <w:rPr>
            <w:rFonts w:ascii="Cambria Math" w:hAnsi="Cambria Math"/>
          </w:rPr>
          <m:t>∆EPS</m:t>
        </m:r>
      </m:oMath>
      <w:r w:rsidR="00EC2DBC">
        <w:rPr>
          <w:rFonts w:ascii="Times" w:hAnsi="Times"/>
        </w:rPr>
        <w:t xml:space="preserve">) on quarterly difference and yearly difference. </w:t>
      </w:r>
    </w:p>
    <w:p w14:paraId="2A02C054" w14:textId="46992B42" w:rsidR="00D40646" w:rsidRDefault="00D40646" w:rsidP="00C30FB0">
      <w:pPr>
        <w:ind w:firstLine="720"/>
        <w:jc w:val="both"/>
        <w:rPr>
          <w:rFonts w:ascii="Times" w:hAnsi="Times"/>
        </w:rPr>
      </w:pPr>
    </w:p>
    <w:p w14:paraId="7D1D6D85" w14:textId="77777777" w:rsidR="00D40646" w:rsidRDefault="00D40646" w:rsidP="00961CF5">
      <w:pPr>
        <w:rPr>
          <w:rFonts w:ascii="Times" w:hAnsi="Times"/>
        </w:rPr>
      </w:pPr>
    </w:p>
    <w:p w14:paraId="4E0A0FAC" w14:textId="670A6345" w:rsidR="00166D7A" w:rsidRDefault="00166D7A">
      <w:pPr>
        <w:rPr>
          <w:rFonts w:ascii="Times" w:hAnsi="Times"/>
        </w:rPr>
      </w:pPr>
    </w:p>
    <w:p w14:paraId="6CC0EE66" w14:textId="77777777" w:rsidR="00265B5C" w:rsidRDefault="00265B5C" w:rsidP="00961CF5">
      <w:pPr>
        <w:rPr>
          <w:rFonts w:ascii="Times" w:hAnsi="Times"/>
        </w:rPr>
      </w:pPr>
    </w:p>
    <w:tbl>
      <w:tblPr>
        <w:tblStyle w:val="a4"/>
        <w:tblW w:w="0" w:type="auto"/>
        <w:tblBorders>
          <w:top w:val="single" w:sz="8" w:space="0" w:color="000000"/>
          <w:left w:val="none" w:sz="0" w:space="0" w:color="auto"/>
          <w:bottom w:val="single" w:sz="8" w:space="0" w:color="000000"/>
          <w:right w:val="none" w:sz="0" w:space="0" w:color="auto"/>
          <w:insideH w:val="none" w:sz="0" w:space="0" w:color="auto"/>
          <w:insideV w:val="none" w:sz="0" w:space="0" w:color="auto"/>
        </w:tblBorders>
        <w:tblLook w:val="04A0" w:firstRow="1" w:lastRow="0" w:firstColumn="1" w:lastColumn="0" w:noHBand="0" w:noVBand="1"/>
      </w:tblPr>
      <w:tblGrid>
        <w:gridCol w:w="2149"/>
        <w:gridCol w:w="6124"/>
        <w:gridCol w:w="1087"/>
      </w:tblGrid>
      <w:tr w:rsidR="00265B5C" w14:paraId="35DD33F7" w14:textId="77777777" w:rsidTr="00D40646">
        <w:tc>
          <w:tcPr>
            <w:tcW w:w="0" w:type="auto"/>
            <w:gridSpan w:val="3"/>
            <w:vAlign w:val="center"/>
          </w:tcPr>
          <w:p w14:paraId="275D0032" w14:textId="77777777" w:rsidR="00265B5C" w:rsidRDefault="00265B5C" w:rsidP="00573FDE">
            <w:pPr>
              <w:jc w:val="center"/>
              <w:rPr>
                <w:rFonts w:ascii="Times" w:hAnsi="Times"/>
              </w:rPr>
            </w:pPr>
            <w:r>
              <w:rPr>
                <w:rFonts w:ascii="Times" w:hAnsi="Times"/>
              </w:rPr>
              <w:t>Variables Definitions</w:t>
            </w:r>
          </w:p>
        </w:tc>
      </w:tr>
      <w:tr w:rsidR="00265B5C" w14:paraId="4CDCFD05" w14:textId="77777777" w:rsidTr="00D40646">
        <w:tc>
          <w:tcPr>
            <w:tcW w:w="0" w:type="auto"/>
            <w:tcBorders>
              <w:top w:val="single" w:sz="4" w:space="0" w:color="000000"/>
              <w:bottom w:val="single" w:sz="4" w:space="0" w:color="000000"/>
            </w:tcBorders>
            <w:vAlign w:val="center"/>
          </w:tcPr>
          <w:p w14:paraId="021F4E3F" w14:textId="77777777" w:rsidR="00265B5C" w:rsidRDefault="00265B5C" w:rsidP="00573FDE">
            <w:pPr>
              <w:rPr>
                <w:rFonts w:ascii="Times" w:hAnsi="Times"/>
              </w:rPr>
            </w:pPr>
            <w:r>
              <w:rPr>
                <w:rFonts w:ascii="Times" w:hAnsi="Times"/>
              </w:rPr>
              <w:t>Name</w:t>
            </w:r>
          </w:p>
        </w:tc>
        <w:tc>
          <w:tcPr>
            <w:tcW w:w="0" w:type="auto"/>
            <w:tcBorders>
              <w:top w:val="single" w:sz="4" w:space="0" w:color="000000"/>
              <w:bottom w:val="single" w:sz="4" w:space="0" w:color="000000"/>
            </w:tcBorders>
            <w:vAlign w:val="center"/>
          </w:tcPr>
          <w:p w14:paraId="06096D41" w14:textId="77777777" w:rsidR="00265B5C" w:rsidRDefault="00265B5C" w:rsidP="00573FDE">
            <w:pPr>
              <w:rPr>
                <w:rFonts w:ascii="Times" w:hAnsi="Times"/>
              </w:rPr>
            </w:pPr>
            <w:r>
              <w:rPr>
                <w:rFonts w:ascii="Times" w:hAnsi="Times"/>
              </w:rPr>
              <w:t>Definition</w:t>
            </w:r>
          </w:p>
        </w:tc>
        <w:tc>
          <w:tcPr>
            <w:tcW w:w="0" w:type="auto"/>
            <w:tcBorders>
              <w:top w:val="single" w:sz="4" w:space="0" w:color="000000"/>
              <w:bottom w:val="single" w:sz="4" w:space="0" w:color="000000"/>
            </w:tcBorders>
            <w:vAlign w:val="center"/>
          </w:tcPr>
          <w:p w14:paraId="32B10A18" w14:textId="77777777" w:rsidR="00265B5C" w:rsidRDefault="00265B5C" w:rsidP="00573FDE">
            <w:pPr>
              <w:rPr>
                <w:rFonts w:ascii="Times" w:hAnsi="Times"/>
              </w:rPr>
            </w:pPr>
            <w:r>
              <w:rPr>
                <w:rFonts w:ascii="Times" w:hAnsi="Times"/>
              </w:rPr>
              <w:t>Data Source</w:t>
            </w:r>
          </w:p>
        </w:tc>
      </w:tr>
      <w:tr w:rsidR="00265B5C" w14:paraId="3921F145" w14:textId="77777777" w:rsidTr="00D40646">
        <w:tc>
          <w:tcPr>
            <w:tcW w:w="0" w:type="auto"/>
            <w:gridSpan w:val="3"/>
            <w:tcBorders>
              <w:bottom w:val="single" w:sz="4" w:space="0" w:color="000000"/>
            </w:tcBorders>
            <w:vAlign w:val="center"/>
          </w:tcPr>
          <w:p w14:paraId="54E39041" w14:textId="1396941D" w:rsidR="00265B5C" w:rsidRDefault="00166D7A" w:rsidP="00166D7A">
            <w:pPr>
              <w:jc w:val="center"/>
              <w:rPr>
                <w:rFonts w:ascii="Times" w:hAnsi="Times"/>
              </w:rPr>
            </w:pPr>
            <w:r>
              <w:rPr>
                <w:rFonts w:ascii="Times" w:hAnsi="Times"/>
              </w:rPr>
              <w:t xml:space="preserve">Panel A: </w:t>
            </w:r>
            <w:r w:rsidR="00265B5C">
              <w:rPr>
                <w:rFonts w:ascii="Times" w:hAnsi="Times"/>
              </w:rPr>
              <w:t>Dispersion Variables</w:t>
            </w:r>
          </w:p>
        </w:tc>
      </w:tr>
      <w:tr w:rsidR="00265B5C" w14:paraId="55F025BD" w14:textId="77777777" w:rsidTr="00D40646">
        <w:trPr>
          <w:trHeight w:val="683"/>
        </w:trPr>
        <w:tc>
          <w:tcPr>
            <w:tcW w:w="0" w:type="auto"/>
            <w:tcBorders>
              <w:top w:val="single" w:sz="4" w:space="0" w:color="000000"/>
            </w:tcBorders>
            <w:vAlign w:val="center"/>
          </w:tcPr>
          <w:p w14:paraId="6631ADDE" w14:textId="752F31B3" w:rsidR="00265B5C" w:rsidRDefault="006E7723" w:rsidP="00573FDE">
            <w:pPr>
              <w:rPr>
                <w:rFonts w:ascii="Times" w:hAnsi="Times"/>
              </w:rPr>
            </w:pPr>
            <m:oMath>
              <m:r>
                <w:rPr>
                  <w:rFonts w:ascii="Cambria Math" w:hAnsi="Cambria Math"/>
                </w:rPr>
                <m:t>∆EPS</m:t>
              </m:r>
            </m:oMath>
            <w:r>
              <w:rPr>
                <w:rFonts w:ascii="Times" w:hAnsi="Times"/>
              </w:rPr>
              <w:t xml:space="preserve"> </w:t>
            </w:r>
          </w:p>
        </w:tc>
        <w:tc>
          <w:tcPr>
            <w:tcW w:w="0" w:type="auto"/>
            <w:tcBorders>
              <w:top w:val="single" w:sz="4" w:space="0" w:color="000000"/>
            </w:tcBorders>
            <w:vAlign w:val="center"/>
          </w:tcPr>
          <w:p w14:paraId="1AE81AA2" w14:textId="0ED0AB50" w:rsidR="00265B5C" w:rsidRDefault="006E7723" w:rsidP="00573FDE">
            <w:pPr>
              <w:rPr>
                <w:rFonts w:ascii="Times" w:hAnsi="Times"/>
              </w:rPr>
            </w:pPr>
            <w:r>
              <w:rPr>
                <w:rFonts w:ascii="Times" w:hAnsi="Times"/>
              </w:rPr>
              <w:t>Difference between two analysts’ e</w:t>
            </w:r>
            <w:r w:rsidR="00265B5C">
              <w:rPr>
                <w:rFonts w:ascii="Times" w:hAnsi="Times"/>
              </w:rPr>
              <w:t>arnings per share forecast</w:t>
            </w:r>
          </w:p>
        </w:tc>
        <w:tc>
          <w:tcPr>
            <w:tcW w:w="0" w:type="auto"/>
            <w:tcBorders>
              <w:top w:val="single" w:sz="4" w:space="0" w:color="000000"/>
            </w:tcBorders>
            <w:vAlign w:val="center"/>
          </w:tcPr>
          <w:p w14:paraId="55526B6D" w14:textId="77777777" w:rsidR="00265B5C" w:rsidRDefault="00265B5C" w:rsidP="00573FDE">
            <w:pPr>
              <w:rPr>
                <w:rFonts w:ascii="Times" w:hAnsi="Times"/>
              </w:rPr>
            </w:pPr>
            <w:r>
              <w:rPr>
                <w:rFonts w:ascii="Times" w:hAnsi="Times"/>
              </w:rPr>
              <w:t>I/B/E/S</w:t>
            </w:r>
          </w:p>
        </w:tc>
      </w:tr>
      <w:tr w:rsidR="00265B5C" w14:paraId="7284CBF7" w14:textId="77777777" w:rsidTr="00D40646">
        <w:trPr>
          <w:trHeight w:val="720"/>
        </w:trPr>
        <w:tc>
          <w:tcPr>
            <w:tcW w:w="0" w:type="auto"/>
            <w:vAlign w:val="center"/>
          </w:tcPr>
          <w:p w14:paraId="78E4A823" w14:textId="2E929478" w:rsidR="00265B5C" w:rsidRDefault="006E7723" w:rsidP="00573FDE">
            <w:pPr>
              <w:rPr>
                <w:rFonts w:ascii="Times" w:hAnsi="Times"/>
              </w:rPr>
            </w:pPr>
            <m:oMath>
              <m:r>
                <w:rPr>
                  <w:rFonts w:ascii="Cambria Math" w:hAnsi="Cambria Math"/>
                </w:rPr>
                <m:t>∆SPT</m:t>
              </m:r>
            </m:oMath>
            <w:r>
              <w:rPr>
                <w:rFonts w:ascii="Times" w:hAnsi="Times"/>
              </w:rPr>
              <w:t xml:space="preserve"> </w:t>
            </w:r>
          </w:p>
        </w:tc>
        <w:tc>
          <w:tcPr>
            <w:tcW w:w="0" w:type="auto"/>
            <w:vAlign w:val="center"/>
          </w:tcPr>
          <w:p w14:paraId="771336CE" w14:textId="3117B2B2" w:rsidR="00265B5C" w:rsidRDefault="006E7723" w:rsidP="00573FDE">
            <w:pPr>
              <w:rPr>
                <w:rFonts w:ascii="Times" w:hAnsi="Times"/>
              </w:rPr>
            </w:pPr>
            <w:r>
              <w:rPr>
                <w:rFonts w:ascii="Times" w:hAnsi="Times"/>
              </w:rPr>
              <w:t>Difference between two analysts’ s</w:t>
            </w:r>
            <w:r w:rsidR="00265B5C">
              <w:rPr>
                <w:rFonts w:ascii="Times" w:hAnsi="Times"/>
              </w:rPr>
              <w:t>hare price forecast</w:t>
            </w:r>
          </w:p>
        </w:tc>
        <w:tc>
          <w:tcPr>
            <w:tcW w:w="0" w:type="auto"/>
            <w:vAlign w:val="center"/>
          </w:tcPr>
          <w:p w14:paraId="372A72D9" w14:textId="77777777" w:rsidR="00265B5C" w:rsidRDefault="00265B5C" w:rsidP="00573FDE">
            <w:pPr>
              <w:rPr>
                <w:rFonts w:ascii="Times" w:hAnsi="Times"/>
              </w:rPr>
            </w:pPr>
            <w:r>
              <w:rPr>
                <w:rFonts w:ascii="Times" w:hAnsi="Times"/>
              </w:rPr>
              <w:t>I/B/E/S</w:t>
            </w:r>
          </w:p>
        </w:tc>
      </w:tr>
      <w:tr w:rsidR="00265B5C" w14:paraId="1779AF95" w14:textId="77777777" w:rsidTr="00D40646">
        <w:tc>
          <w:tcPr>
            <w:tcW w:w="0" w:type="auto"/>
            <w:tcBorders>
              <w:bottom w:val="single" w:sz="4" w:space="0" w:color="000000"/>
            </w:tcBorders>
            <w:vAlign w:val="center"/>
          </w:tcPr>
          <w:p w14:paraId="475166C7" w14:textId="77777777" w:rsidR="00265B5C" w:rsidRDefault="00265B5C" w:rsidP="00573FDE">
            <w:pPr>
              <w:rPr>
                <w:rFonts w:ascii="Times" w:hAnsi="Times"/>
              </w:rPr>
            </w:pPr>
            <w:r>
              <w:rPr>
                <w:rFonts w:ascii="Times" w:hAnsi="Times"/>
              </w:rPr>
              <w:t>Bold</w:t>
            </w:r>
          </w:p>
        </w:tc>
        <w:tc>
          <w:tcPr>
            <w:tcW w:w="0" w:type="auto"/>
            <w:tcBorders>
              <w:bottom w:val="single" w:sz="4" w:space="0" w:color="000000"/>
            </w:tcBorders>
            <w:vAlign w:val="center"/>
          </w:tcPr>
          <w:p w14:paraId="18E0CD51" w14:textId="77777777" w:rsidR="00265B5C" w:rsidRDefault="00265B5C" w:rsidP="00573FDE">
            <w:pPr>
              <w:rPr>
                <w:rFonts w:ascii="Times" w:hAnsi="Times"/>
              </w:rPr>
            </w:pPr>
            <w:r w:rsidRPr="00826657">
              <w:rPr>
                <w:rFonts w:ascii="Times" w:hAnsi="Times"/>
              </w:rPr>
              <w:t>Bold is the absolute difference between</w:t>
            </w:r>
            <w:r>
              <w:rPr>
                <w:rFonts w:ascii="Times" w:hAnsi="Times"/>
              </w:rPr>
              <w:t xml:space="preserve"> </w:t>
            </w:r>
            <w:r w:rsidRPr="00826657">
              <w:rPr>
                <w:rFonts w:ascii="Times" w:hAnsi="Times"/>
              </w:rPr>
              <w:t>the</w:t>
            </w:r>
            <w:r>
              <w:rPr>
                <w:rFonts w:ascii="Times" w:hAnsi="Times"/>
              </w:rPr>
              <w:t xml:space="preserve"> </w:t>
            </w:r>
            <w:r w:rsidRPr="00826657">
              <w:rPr>
                <w:rFonts w:ascii="Times" w:hAnsi="Times"/>
              </w:rPr>
              <w:t>analyst’s recommendation and the average recommendation of all other analysts covering the same company.</w:t>
            </w:r>
          </w:p>
        </w:tc>
        <w:tc>
          <w:tcPr>
            <w:tcW w:w="0" w:type="auto"/>
            <w:tcBorders>
              <w:bottom w:val="single" w:sz="4" w:space="0" w:color="000000"/>
            </w:tcBorders>
            <w:vAlign w:val="center"/>
          </w:tcPr>
          <w:p w14:paraId="03315AEC" w14:textId="77777777" w:rsidR="00265B5C" w:rsidRDefault="00265B5C" w:rsidP="00573FDE">
            <w:pPr>
              <w:rPr>
                <w:rFonts w:ascii="Times" w:hAnsi="Times"/>
              </w:rPr>
            </w:pPr>
            <w:r>
              <w:rPr>
                <w:rFonts w:ascii="Times" w:hAnsi="Times"/>
              </w:rPr>
              <w:t>I/B/E/S</w:t>
            </w:r>
          </w:p>
        </w:tc>
      </w:tr>
      <w:tr w:rsidR="00265B5C" w14:paraId="00C767ED" w14:textId="77777777" w:rsidTr="00D40646">
        <w:tc>
          <w:tcPr>
            <w:tcW w:w="0" w:type="auto"/>
            <w:gridSpan w:val="3"/>
            <w:vAlign w:val="center"/>
          </w:tcPr>
          <w:p w14:paraId="3251A22D" w14:textId="06264343" w:rsidR="00265B5C" w:rsidRDefault="00166D7A" w:rsidP="00166D7A">
            <w:pPr>
              <w:jc w:val="center"/>
              <w:rPr>
                <w:rFonts w:ascii="Times" w:hAnsi="Times"/>
              </w:rPr>
            </w:pPr>
            <w:r>
              <w:rPr>
                <w:rFonts w:ascii="Times" w:hAnsi="Times"/>
              </w:rPr>
              <w:t xml:space="preserve">Panel B: </w:t>
            </w:r>
            <w:r w:rsidR="00265B5C">
              <w:rPr>
                <w:rFonts w:ascii="Times" w:hAnsi="Times"/>
              </w:rPr>
              <w:t>Independent Variables</w:t>
            </w:r>
          </w:p>
        </w:tc>
      </w:tr>
      <w:tr w:rsidR="00265B5C" w14:paraId="7CD198FF" w14:textId="77777777" w:rsidTr="00D40646">
        <w:trPr>
          <w:trHeight w:val="656"/>
        </w:trPr>
        <w:tc>
          <w:tcPr>
            <w:tcW w:w="0" w:type="auto"/>
            <w:tcBorders>
              <w:top w:val="single" w:sz="4" w:space="0" w:color="000000"/>
            </w:tcBorders>
            <w:vAlign w:val="center"/>
          </w:tcPr>
          <w:p w14:paraId="4FDBF98A" w14:textId="381E3878" w:rsidR="00265B5C" w:rsidRPr="00D40646" w:rsidRDefault="00265B5C" w:rsidP="00D40646">
            <w:pPr>
              <w:pStyle w:val="a5"/>
            </w:pPr>
            <w:proofErr w:type="spellStart"/>
            <w:r>
              <w:rPr>
                <w:rFonts w:ascii="TimesNewRomanPSMT" w:hAnsi="TimesNewRomanPSMT"/>
              </w:rPr>
              <w:t>Woring_Experience</w:t>
            </w:r>
            <w:proofErr w:type="spellEnd"/>
          </w:p>
        </w:tc>
        <w:tc>
          <w:tcPr>
            <w:tcW w:w="0" w:type="auto"/>
            <w:tcBorders>
              <w:top w:val="single" w:sz="4" w:space="0" w:color="000000"/>
            </w:tcBorders>
            <w:vAlign w:val="center"/>
          </w:tcPr>
          <w:p w14:paraId="55C1426A" w14:textId="56BBC1B0" w:rsidR="00D40646" w:rsidRPr="00D40646" w:rsidRDefault="00265B5C" w:rsidP="00D40646">
            <w:pPr>
              <w:pStyle w:val="a5"/>
              <w:rPr>
                <w:rFonts w:ascii="TimesNewRomanPSMT" w:hAnsi="TimesNewRomanPSMT"/>
              </w:rPr>
            </w:pPr>
            <w:r>
              <w:rPr>
                <w:rFonts w:ascii="TimesNewRomanPSMT" w:hAnsi="TimesNewRomanPSMT"/>
              </w:rPr>
              <w:t>The number of years since the analyst appears in IBES recommendation file</w:t>
            </w:r>
          </w:p>
        </w:tc>
        <w:tc>
          <w:tcPr>
            <w:tcW w:w="0" w:type="auto"/>
            <w:tcBorders>
              <w:top w:val="single" w:sz="4" w:space="0" w:color="000000"/>
            </w:tcBorders>
            <w:vAlign w:val="center"/>
          </w:tcPr>
          <w:p w14:paraId="721DD06B" w14:textId="5170ABCA" w:rsidR="00265B5C" w:rsidRDefault="00265B5C" w:rsidP="00573FDE">
            <w:pPr>
              <w:rPr>
                <w:rFonts w:ascii="Times" w:hAnsi="Times"/>
              </w:rPr>
            </w:pPr>
            <w:r>
              <w:rPr>
                <w:rFonts w:ascii="Times" w:hAnsi="Times"/>
              </w:rPr>
              <w:t>I/B/E/S</w:t>
            </w:r>
          </w:p>
        </w:tc>
      </w:tr>
      <w:tr w:rsidR="00265B5C" w14:paraId="3E271F23" w14:textId="77777777" w:rsidTr="00D40646">
        <w:trPr>
          <w:trHeight w:val="630"/>
        </w:trPr>
        <w:tc>
          <w:tcPr>
            <w:tcW w:w="0" w:type="auto"/>
            <w:vAlign w:val="center"/>
          </w:tcPr>
          <w:p w14:paraId="0FE75FDB" w14:textId="6975FAA0" w:rsidR="00265B5C" w:rsidRDefault="00265B5C" w:rsidP="00573FDE">
            <w:pPr>
              <w:rPr>
                <w:rFonts w:ascii="Times" w:hAnsi="Times"/>
              </w:rPr>
            </w:pPr>
            <w:proofErr w:type="spellStart"/>
            <w:r>
              <w:rPr>
                <w:rFonts w:ascii="Times" w:hAnsi="Times"/>
              </w:rPr>
              <w:t>I</w:t>
            </w:r>
            <w:r w:rsidR="006E7723">
              <w:rPr>
                <w:rFonts w:ascii="Times" w:hAnsi="Times"/>
              </w:rPr>
              <w:t>Work</w:t>
            </w:r>
            <w:proofErr w:type="spellEnd"/>
          </w:p>
        </w:tc>
        <w:tc>
          <w:tcPr>
            <w:tcW w:w="0" w:type="auto"/>
            <w:vAlign w:val="center"/>
          </w:tcPr>
          <w:p w14:paraId="3A5519B8" w14:textId="77777777" w:rsidR="00265B5C" w:rsidRDefault="00265B5C" w:rsidP="00573FDE">
            <w:pPr>
              <w:rPr>
                <w:rFonts w:ascii="Times" w:hAnsi="Times"/>
              </w:rPr>
            </w:pPr>
            <w:r>
              <w:rPr>
                <w:rFonts w:ascii="Times" w:hAnsi="Times"/>
              </w:rPr>
              <w:t>The difference between two analysts’ working experience</w:t>
            </w:r>
          </w:p>
        </w:tc>
        <w:tc>
          <w:tcPr>
            <w:tcW w:w="0" w:type="auto"/>
            <w:vAlign w:val="center"/>
          </w:tcPr>
          <w:p w14:paraId="6DC8746B" w14:textId="77777777" w:rsidR="00265B5C" w:rsidRDefault="00265B5C" w:rsidP="00573FDE">
            <w:pPr>
              <w:rPr>
                <w:rFonts w:ascii="Times" w:hAnsi="Times"/>
              </w:rPr>
            </w:pPr>
            <w:r>
              <w:rPr>
                <w:rFonts w:ascii="Times" w:hAnsi="Times"/>
              </w:rPr>
              <w:t>I/B/E/S</w:t>
            </w:r>
          </w:p>
        </w:tc>
      </w:tr>
      <w:tr w:rsidR="00265B5C" w14:paraId="47C295DB" w14:textId="77777777" w:rsidTr="00D40646">
        <w:trPr>
          <w:trHeight w:val="720"/>
        </w:trPr>
        <w:tc>
          <w:tcPr>
            <w:tcW w:w="0" w:type="auto"/>
            <w:vAlign w:val="center"/>
          </w:tcPr>
          <w:p w14:paraId="5F8FFE70" w14:textId="381A1FF3" w:rsidR="006E7723" w:rsidRDefault="006E7723" w:rsidP="00573FDE">
            <w:pPr>
              <w:rPr>
                <w:rFonts w:ascii="Times" w:hAnsi="Times"/>
              </w:rPr>
            </w:pPr>
            <w:proofErr w:type="spellStart"/>
            <w:r>
              <w:rPr>
                <w:rFonts w:ascii="Times" w:hAnsi="Times"/>
              </w:rPr>
              <w:t>I</w:t>
            </w:r>
            <w:r w:rsidR="00265B5C">
              <w:rPr>
                <w:rFonts w:ascii="Times" w:hAnsi="Times"/>
              </w:rPr>
              <w:t>Analyze</w:t>
            </w:r>
            <w:proofErr w:type="spellEnd"/>
          </w:p>
          <w:p w14:paraId="7DE25BB3" w14:textId="5D488D42" w:rsidR="00265B5C" w:rsidRDefault="00265B5C" w:rsidP="00573FDE">
            <w:pPr>
              <w:rPr>
                <w:rFonts w:ascii="Times" w:hAnsi="Times"/>
              </w:rPr>
            </w:pPr>
          </w:p>
        </w:tc>
        <w:tc>
          <w:tcPr>
            <w:tcW w:w="0" w:type="auto"/>
            <w:vAlign w:val="center"/>
          </w:tcPr>
          <w:p w14:paraId="6FE4E7FF" w14:textId="25C85312" w:rsidR="00265B5C" w:rsidRDefault="006E7723" w:rsidP="00573FDE">
            <w:pPr>
              <w:rPr>
                <w:rFonts w:ascii="Times" w:hAnsi="Times"/>
              </w:rPr>
            </w:pPr>
            <w:r>
              <w:rPr>
                <w:rFonts w:ascii="Times" w:hAnsi="Times"/>
              </w:rPr>
              <w:t xml:space="preserve">The difference between two analysts analyze experience </w:t>
            </w:r>
          </w:p>
        </w:tc>
        <w:tc>
          <w:tcPr>
            <w:tcW w:w="0" w:type="auto"/>
            <w:vAlign w:val="center"/>
          </w:tcPr>
          <w:p w14:paraId="3BA51926" w14:textId="77777777" w:rsidR="00265B5C" w:rsidRDefault="00265B5C" w:rsidP="00573FDE">
            <w:pPr>
              <w:rPr>
                <w:rFonts w:ascii="Times" w:hAnsi="Times"/>
              </w:rPr>
            </w:pPr>
            <w:r>
              <w:rPr>
                <w:rFonts w:ascii="Times" w:hAnsi="Times"/>
              </w:rPr>
              <w:t>I/B/E/S</w:t>
            </w:r>
          </w:p>
        </w:tc>
      </w:tr>
      <w:tr w:rsidR="00265B5C" w14:paraId="6718C14E" w14:textId="77777777" w:rsidTr="00D40646">
        <w:trPr>
          <w:trHeight w:val="900"/>
        </w:trPr>
        <w:tc>
          <w:tcPr>
            <w:tcW w:w="0" w:type="auto"/>
            <w:vAlign w:val="center"/>
          </w:tcPr>
          <w:p w14:paraId="1624373C" w14:textId="77777777" w:rsidR="00265B5C" w:rsidRDefault="00265B5C" w:rsidP="00573FDE">
            <w:pPr>
              <w:rPr>
                <w:rFonts w:ascii="Times" w:hAnsi="Times"/>
              </w:rPr>
            </w:pPr>
            <w:proofErr w:type="spellStart"/>
            <w:r>
              <w:rPr>
                <w:rFonts w:ascii="Times" w:hAnsi="Times"/>
              </w:rPr>
              <w:t>ICompany</w:t>
            </w:r>
            <w:proofErr w:type="spellEnd"/>
          </w:p>
        </w:tc>
        <w:tc>
          <w:tcPr>
            <w:tcW w:w="0" w:type="auto"/>
            <w:vAlign w:val="center"/>
          </w:tcPr>
          <w:p w14:paraId="0667B21F" w14:textId="77777777" w:rsidR="00265B5C" w:rsidRDefault="00265B5C" w:rsidP="00573FDE">
            <w:pPr>
              <w:rPr>
                <w:rFonts w:ascii="Times" w:hAnsi="Times"/>
              </w:rPr>
            </w:pPr>
            <w:r>
              <w:rPr>
                <w:rFonts w:ascii="Times" w:hAnsi="Times"/>
              </w:rPr>
              <w:t>Indicator variable that equals 1 if two analysts belong to the same company, and 0 otherwise.</w:t>
            </w:r>
          </w:p>
        </w:tc>
        <w:tc>
          <w:tcPr>
            <w:tcW w:w="0" w:type="auto"/>
            <w:vAlign w:val="center"/>
          </w:tcPr>
          <w:p w14:paraId="53290103" w14:textId="77777777" w:rsidR="00265B5C" w:rsidRDefault="00265B5C" w:rsidP="00573FDE">
            <w:pPr>
              <w:rPr>
                <w:rFonts w:ascii="Times" w:hAnsi="Times"/>
              </w:rPr>
            </w:pPr>
            <w:r>
              <w:rPr>
                <w:rFonts w:ascii="Times" w:hAnsi="Times"/>
              </w:rPr>
              <w:t>I/B/E/S</w:t>
            </w:r>
          </w:p>
        </w:tc>
      </w:tr>
      <w:tr w:rsidR="00265B5C" w14:paraId="509C4721" w14:textId="77777777" w:rsidTr="00D40646">
        <w:tc>
          <w:tcPr>
            <w:tcW w:w="0" w:type="auto"/>
            <w:vAlign w:val="center"/>
          </w:tcPr>
          <w:p w14:paraId="3BBCB8C9" w14:textId="54BA6EC4" w:rsidR="00265B5C" w:rsidRDefault="006E7723" w:rsidP="00573FDE">
            <w:pPr>
              <w:rPr>
                <w:rFonts w:ascii="Times" w:hAnsi="Times"/>
              </w:rPr>
            </w:pPr>
            <w:proofErr w:type="spellStart"/>
            <w:r>
              <w:rPr>
                <w:rFonts w:ascii="Times" w:hAnsi="Times"/>
              </w:rPr>
              <w:t>I</w:t>
            </w:r>
            <w:r w:rsidR="00265B5C">
              <w:rPr>
                <w:rFonts w:ascii="Times" w:hAnsi="Times"/>
              </w:rPr>
              <w:t>Size</w:t>
            </w:r>
            <w:proofErr w:type="spellEnd"/>
          </w:p>
        </w:tc>
        <w:tc>
          <w:tcPr>
            <w:tcW w:w="0" w:type="auto"/>
            <w:vAlign w:val="center"/>
          </w:tcPr>
          <w:p w14:paraId="5209BCA1" w14:textId="244667A1" w:rsidR="00265B5C" w:rsidRDefault="006E7723" w:rsidP="00573FDE">
            <w:pPr>
              <w:rPr>
                <w:rFonts w:ascii="Times" w:hAnsi="Times"/>
              </w:rPr>
            </w:pPr>
            <w:r>
              <w:rPr>
                <w:rFonts w:ascii="Times" w:hAnsi="Times"/>
              </w:rPr>
              <w:t>The difference between two analysts’ b</w:t>
            </w:r>
            <w:r w:rsidR="00265B5C" w:rsidRPr="00086480">
              <w:rPr>
                <w:rFonts w:ascii="Times" w:hAnsi="Times"/>
              </w:rPr>
              <w:t>rokerage firm size</w:t>
            </w:r>
            <w:r w:rsidR="00265B5C">
              <w:rPr>
                <w:rFonts w:ascii="Times" w:hAnsi="Times"/>
              </w:rPr>
              <w:t xml:space="preserve">. </w:t>
            </w:r>
          </w:p>
        </w:tc>
        <w:tc>
          <w:tcPr>
            <w:tcW w:w="0" w:type="auto"/>
            <w:vAlign w:val="center"/>
          </w:tcPr>
          <w:p w14:paraId="5A963C83" w14:textId="77777777" w:rsidR="00265B5C" w:rsidRDefault="00265B5C" w:rsidP="00573FDE">
            <w:pPr>
              <w:rPr>
                <w:rFonts w:ascii="Times" w:hAnsi="Times"/>
              </w:rPr>
            </w:pPr>
            <w:r>
              <w:rPr>
                <w:rFonts w:ascii="Times" w:hAnsi="Times"/>
              </w:rPr>
              <w:t>I/B/E/S</w:t>
            </w:r>
          </w:p>
        </w:tc>
      </w:tr>
    </w:tbl>
    <w:p w14:paraId="17DA28D4" w14:textId="7E88C95F" w:rsidR="00265B5C" w:rsidRDefault="00265B5C" w:rsidP="00961CF5">
      <w:pPr>
        <w:rPr>
          <w:rFonts w:ascii="Times" w:hAnsi="Times"/>
        </w:rPr>
      </w:pPr>
    </w:p>
    <w:p w14:paraId="60A2410A" w14:textId="4BA5FC77" w:rsidR="00BC622F" w:rsidRDefault="00BC622F" w:rsidP="00961CF5">
      <w:pPr>
        <w:rPr>
          <w:rFonts w:ascii="Times" w:hAnsi="Times"/>
        </w:rPr>
      </w:pPr>
    </w:p>
    <w:p w14:paraId="5228121B" w14:textId="4D1AA1D8" w:rsidR="00A50EC9" w:rsidRDefault="00A50EC9" w:rsidP="00A50EC9">
      <w:pPr>
        <w:rPr>
          <w:rFonts w:ascii="Times" w:hAnsi="Times"/>
        </w:rPr>
      </w:pPr>
    </w:p>
    <w:p w14:paraId="11BFB888" w14:textId="031703D0" w:rsidR="00A50EC9" w:rsidRDefault="00A50EC9" w:rsidP="00A50EC9">
      <w:pPr>
        <w:rPr>
          <w:rFonts w:ascii="Times" w:hAnsi="Times"/>
        </w:rPr>
      </w:pPr>
    </w:p>
    <w:p w14:paraId="24FA0434" w14:textId="267FF6DE" w:rsidR="00A50EC9" w:rsidRDefault="00A50EC9" w:rsidP="00A50EC9">
      <w:pPr>
        <w:rPr>
          <w:rFonts w:ascii="Times" w:hAnsi="Times"/>
        </w:rPr>
      </w:pPr>
    </w:p>
    <w:p w14:paraId="3BD43009" w14:textId="58BF0025" w:rsidR="00A50EC9" w:rsidRDefault="00A50EC9" w:rsidP="00A50EC9">
      <w:pPr>
        <w:rPr>
          <w:rFonts w:ascii="Times" w:hAnsi="Times"/>
        </w:rPr>
      </w:pPr>
    </w:p>
    <w:p w14:paraId="327575C4" w14:textId="5F33B060" w:rsidR="00333803" w:rsidRDefault="00333803" w:rsidP="00A50EC9">
      <w:pPr>
        <w:rPr>
          <w:rFonts w:ascii="Times" w:hAnsi="Times"/>
        </w:rPr>
      </w:pPr>
    </w:p>
    <w:p w14:paraId="5D023A59" w14:textId="3985629E" w:rsidR="00333803" w:rsidRDefault="00333803" w:rsidP="00A50EC9">
      <w:pPr>
        <w:rPr>
          <w:rFonts w:ascii="Times" w:hAnsi="Times"/>
        </w:rPr>
      </w:pPr>
    </w:p>
    <w:p w14:paraId="4D250BA8" w14:textId="77777777" w:rsidR="00333803" w:rsidRDefault="00333803" w:rsidP="00A50EC9">
      <w:pPr>
        <w:rPr>
          <w:rFonts w:ascii="Times" w:hAnsi="Times"/>
        </w:rPr>
      </w:pPr>
    </w:p>
    <w:p w14:paraId="6B22C1B4" w14:textId="77777777" w:rsidR="00A50EC9" w:rsidRDefault="00A50EC9" w:rsidP="00A50EC9">
      <w:pPr>
        <w:rPr>
          <w:rFonts w:ascii="Times" w:hAnsi="Times"/>
        </w:rPr>
      </w:pPr>
    </w:p>
    <w:p w14:paraId="654B4F65" w14:textId="77777777" w:rsidR="00333803" w:rsidRDefault="00333803" w:rsidP="004B3391">
      <w:pPr>
        <w:jc w:val="both"/>
        <w:rPr>
          <w:rFonts w:ascii="Times" w:hAnsi="Times"/>
          <w:b/>
          <w:bCs/>
        </w:rPr>
      </w:pPr>
    </w:p>
    <w:p w14:paraId="2E8F416C" w14:textId="77777777" w:rsidR="00333803" w:rsidRDefault="00333803" w:rsidP="004B3391">
      <w:pPr>
        <w:jc w:val="both"/>
        <w:rPr>
          <w:rFonts w:ascii="Times" w:hAnsi="Times"/>
          <w:b/>
          <w:bCs/>
        </w:rPr>
      </w:pPr>
    </w:p>
    <w:p w14:paraId="151B308F" w14:textId="77777777" w:rsidR="00333803" w:rsidRDefault="00333803" w:rsidP="004B3391">
      <w:pPr>
        <w:jc w:val="both"/>
        <w:rPr>
          <w:rFonts w:ascii="Times" w:hAnsi="Times"/>
          <w:b/>
          <w:bCs/>
        </w:rPr>
      </w:pPr>
    </w:p>
    <w:p w14:paraId="7E14BE8A" w14:textId="77777777" w:rsidR="00333803" w:rsidRDefault="00333803" w:rsidP="004B3391">
      <w:pPr>
        <w:jc w:val="both"/>
        <w:rPr>
          <w:rFonts w:ascii="Times" w:hAnsi="Times"/>
          <w:b/>
          <w:bCs/>
        </w:rPr>
      </w:pPr>
    </w:p>
    <w:p w14:paraId="0662DCDF" w14:textId="77777777" w:rsidR="00333803" w:rsidRDefault="00333803" w:rsidP="004B3391">
      <w:pPr>
        <w:jc w:val="both"/>
        <w:rPr>
          <w:rFonts w:ascii="Times" w:hAnsi="Times"/>
          <w:b/>
          <w:bCs/>
        </w:rPr>
      </w:pPr>
    </w:p>
    <w:p w14:paraId="664B811B" w14:textId="7CDEB215" w:rsidR="00A50EC9" w:rsidRPr="00A50EC9" w:rsidRDefault="00A50EC9" w:rsidP="004B3391">
      <w:pPr>
        <w:jc w:val="both"/>
        <w:rPr>
          <w:rFonts w:ascii="Times" w:hAnsi="Times"/>
          <w:b/>
          <w:bCs/>
        </w:rPr>
      </w:pPr>
      <w:r w:rsidRPr="00A50EC9">
        <w:rPr>
          <w:rFonts w:ascii="Times" w:hAnsi="Times"/>
          <w:b/>
          <w:bCs/>
        </w:rPr>
        <w:t>Outline</w:t>
      </w:r>
    </w:p>
    <w:p w14:paraId="79A4C6D7" w14:textId="77777777" w:rsidR="00A50EC9" w:rsidRPr="00961CF5" w:rsidRDefault="00A50EC9" w:rsidP="004B3391">
      <w:pPr>
        <w:pStyle w:val="a3"/>
        <w:numPr>
          <w:ilvl w:val="0"/>
          <w:numId w:val="1"/>
        </w:numPr>
        <w:jc w:val="both"/>
        <w:rPr>
          <w:rFonts w:ascii="Times" w:hAnsi="Times"/>
        </w:rPr>
      </w:pPr>
      <w:r w:rsidRPr="00961CF5">
        <w:rPr>
          <w:rFonts w:ascii="Times" w:hAnsi="Times"/>
        </w:rPr>
        <w:t>Week 1 (March 22- March 28). We will meet with professor and discuss our proposal. Then, based on professor’s suggestion, we will modify our proposal.</w:t>
      </w:r>
    </w:p>
    <w:p w14:paraId="416D24BC" w14:textId="77777777" w:rsidR="00A50EC9" w:rsidRPr="00961CF5" w:rsidRDefault="00A50EC9" w:rsidP="004B3391">
      <w:pPr>
        <w:pStyle w:val="a3"/>
        <w:numPr>
          <w:ilvl w:val="0"/>
          <w:numId w:val="1"/>
        </w:numPr>
        <w:jc w:val="both"/>
        <w:rPr>
          <w:rFonts w:ascii="Times" w:hAnsi="Times"/>
        </w:rPr>
      </w:pPr>
      <w:r w:rsidRPr="00961CF5">
        <w:rPr>
          <w:rFonts w:ascii="Times" w:hAnsi="Times"/>
        </w:rPr>
        <w:t>Week 2 (March 29- April 4). We will collect data and clean our data.</w:t>
      </w:r>
    </w:p>
    <w:p w14:paraId="1327193D" w14:textId="77777777" w:rsidR="00A50EC9" w:rsidRPr="00961CF5" w:rsidRDefault="00A50EC9" w:rsidP="004B3391">
      <w:pPr>
        <w:pStyle w:val="a3"/>
        <w:numPr>
          <w:ilvl w:val="0"/>
          <w:numId w:val="1"/>
        </w:numPr>
        <w:jc w:val="both"/>
        <w:rPr>
          <w:rFonts w:ascii="Times" w:hAnsi="Times"/>
        </w:rPr>
      </w:pPr>
      <w:r w:rsidRPr="00961CF5">
        <w:rPr>
          <w:rFonts w:ascii="Times" w:hAnsi="Times"/>
        </w:rPr>
        <w:t>Week 3 (April 5- April 11). We will run the regressions and analyze the result.</w:t>
      </w:r>
    </w:p>
    <w:p w14:paraId="5E0003F0" w14:textId="77777777" w:rsidR="00A50EC9" w:rsidRPr="00961CF5" w:rsidRDefault="00A50EC9" w:rsidP="004B3391">
      <w:pPr>
        <w:pStyle w:val="a3"/>
        <w:numPr>
          <w:ilvl w:val="0"/>
          <w:numId w:val="1"/>
        </w:numPr>
        <w:jc w:val="both"/>
        <w:rPr>
          <w:rFonts w:ascii="Times" w:hAnsi="Times"/>
        </w:rPr>
      </w:pPr>
      <w:r w:rsidRPr="00961CF5">
        <w:rPr>
          <w:rFonts w:ascii="Times" w:hAnsi="Times"/>
        </w:rPr>
        <w:t>Week 4-5 (April 12- April 2</w:t>
      </w:r>
      <w:r>
        <w:rPr>
          <w:rFonts w:ascii="Times" w:hAnsi="Times"/>
        </w:rPr>
        <w:t>5</w:t>
      </w:r>
      <w:r w:rsidRPr="00961CF5">
        <w:rPr>
          <w:rFonts w:ascii="Times" w:hAnsi="Times"/>
        </w:rPr>
        <w:t>). We are going to write the body section of our paper.</w:t>
      </w:r>
    </w:p>
    <w:p w14:paraId="41A3F2AB" w14:textId="77777777" w:rsidR="00A50EC9" w:rsidRDefault="00A50EC9" w:rsidP="004B3391">
      <w:pPr>
        <w:pStyle w:val="a3"/>
        <w:numPr>
          <w:ilvl w:val="0"/>
          <w:numId w:val="1"/>
        </w:numPr>
        <w:jc w:val="both"/>
        <w:rPr>
          <w:rFonts w:ascii="Times" w:hAnsi="Times"/>
        </w:rPr>
      </w:pPr>
      <w:r>
        <w:rPr>
          <w:rFonts w:ascii="Times" w:hAnsi="Times"/>
        </w:rPr>
        <w:t>Week 6(April 26-May 1). We will modify our paper.</w:t>
      </w:r>
    </w:p>
    <w:p w14:paraId="49A153DA" w14:textId="77777777" w:rsidR="00A50EC9" w:rsidRDefault="00A50EC9" w:rsidP="00A50EC9">
      <w:pPr>
        <w:rPr>
          <w:rFonts w:ascii="Times" w:hAnsi="Times"/>
        </w:rPr>
      </w:pPr>
    </w:p>
    <w:p w14:paraId="2C83CD21" w14:textId="1AF7A7BF" w:rsidR="00AF18B4" w:rsidRPr="00AF18B4" w:rsidRDefault="00AF18B4" w:rsidP="00AF18B4">
      <w:pPr>
        <w:rPr>
          <w:rFonts w:ascii="Times" w:hAnsi="Times"/>
        </w:rPr>
      </w:pPr>
      <w:r w:rsidRPr="00AF18B4">
        <w:rPr>
          <w:rFonts w:ascii="Times New Roman" w:hAnsi="Times New Roman" w:cs="Times New Roman"/>
          <w:b/>
          <w:bCs/>
          <w:color w:val="222222"/>
          <w:shd w:val="clear" w:color="auto" w:fill="FFFFFF"/>
        </w:rPr>
        <w:t>Reference</w:t>
      </w:r>
    </w:p>
    <w:p w14:paraId="0DB71C84" w14:textId="77777777" w:rsidR="00AF18B4" w:rsidRDefault="00AF18B4" w:rsidP="00AF18B4">
      <w:pPr>
        <w:ind w:left="720" w:hanging="720"/>
        <w:rPr>
          <w:rFonts w:ascii="Times New Roman" w:hAnsi="Times New Roman" w:cs="Times New Roman"/>
          <w:color w:val="222222"/>
          <w:sz w:val="20"/>
          <w:szCs w:val="20"/>
          <w:shd w:val="clear" w:color="auto" w:fill="FFFFFF"/>
        </w:rPr>
      </w:pPr>
    </w:p>
    <w:p w14:paraId="19A2A84F" w14:textId="0363F392" w:rsidR="00AF18B4" w:rsidRDefault="00AF18B4" w:rsidP="00AF18B4">
      <w:pPr>
        <w:ind w:left="720" w:hanging="720"/>
        <w:rPr>
          <w:rFonts w:ascii="Times New Roman" w:hAnsi="Times New Roman" w:cs="Times New Roman"/>
          <w:color w:val="222222"/>
          <w:sz w:val="20"/>
          <w:szCs w:val="20"/>
          <w:shd w:val="clear" w:color="auto" w:fill="FFFFFF"/>
        </w:rPr>
      </w:pPr>
      <w:r w:rsidRPr="00AF18B4">
        <w:rPr>
          <w:rFonts w:ascii="Times New Roman" w:hAnsi="Times New Roman" w:cs="Times New Roman"/>
          <w:color w:val="222222"/>
          <w:sz w:val="20"/>
          <w:szCs w:val="20"/>
          <w:shd w:val="clear" w:color="auto" w:fill="FFFFFF"/>
        </w:rPr>
        <w:t>Ali, A., Liu, M., Xu, D., &amp; Yao, T. (2019). Corporate disclosure, analyst forecast dispersion, and stock returns. </w:t>
      </w:r>
      <w:r w:rsidRPr="00AF18B4">
        <w:rPr>
          <w:rFonts w:ascii="Times New Roman" w:hAnsi="Times New Roman" w:cs="Times New Roman"/>
          <w:i/>
          <w:iCs/>
          <w:color w:val="222222"/>
          <w:sz w:val="20"/>
          <w:szCs w:val="20"/>
          <w:shd w:val="clear" w:color="auto" w:fill="FFFFFF"/>
        </w:rPr>
        <w:t>Journal of Accounting, Auditing &amp; Finance</w:t>
      </w:r>
      <w:r w:rsidRPr="00AF18B4">
        <w:rPr>
          <w:rFonts w:ascii="Times New Roman" w:hAnsi="Times New Roman" w:cs="Times New Roman"/>
          <w:color w:val="222222"/>
          <w:sz w:val="20"/>
          <w:szCs w:val="20"/>
          <w:shd w:val="clear" w:color="auto" w:fill="FFFFFF"/>
        </w:rPr>
        <w:t>, </w:t>
      </w:r>
      <w:r w:rsidRPr="00AF18B4">
        <w:rPr>
          <w:rFonts w:ascii="Times New Roman" w:hAnsi="Times New Roman" w:cs="Times New Roman"/>
          <w:i/>
          <w:iCs/>
          <w:color w:val="222222"/>
          <w:sz w:val="20"/>
          <w:szCs w:val="20"/>
          <w:shd w:val="clear" w:color="auto" w:fill="FFFFFF"/>
        </w:rPr>
        <w:t>34</w:t>
      </w:r>
      <w:r w:rsidRPr="00AF18B4">
        <w:rPr>
          <w:rFonts w:ascii="Times New Roman" w:hAnsi="Times New Roman" w:cs="Times New Roman"/>
          <w:color w:val="222222"/>
          <w:sz w:val="20"/>
          <w:szCs w:val="20"/>
          <w:shd w:val="clear" w:color="auto" w:fill="FFFFFF"/>
        </w:rPr>
        <w:t>(1), 54-73.</w:t>
      </w:r>
    </w:p>
    <w:p w14:paraId="2FB87391" w14:textId="77777777" w:rsidR="00AF18B4" w:rsidRPr="00AF18B4" w:rsidRDefault="00AF18B4" w:rsidP="00AF18B4">
      <w:pPr>
        <w:ind w:left="720" w:hanging="720"/>
        <w:rPr>
          <w:rFonts w:ascii="Times New Roman" w:hAnsi="Times New Roman" w:cs="Times New Roman"/>
          <w:color w:val="222222"/>
          <w:sz w:val="20"/>
          <w:szCs w:val="20"/>
          <w:shd w:val="clear" w:color="auto" w:fill="FFFFFF"/>
        </w:rPr>
      </w:pPr>
      <w:proofErr w:type="spellStart"/>
      <w:r w:rsidRPr="00AF18B4">
        <w:rPr>
          <w:rFonts w:ascii="Times New Roman" w:hAnsi="Times New Roman" w:cs="Times New Roman"/>
          <w:color w:val="222222"/>
          <w:sz w:val="20"/>
          <w:szCs w:val="20"/>
          <w:shd w:val="clear" w:color="auto" w:fill="FFFFFF"/>
        </w:rPr>
        <w:t>Blankespoor</w:t>
      </w:r>
      <w:proofErr w:type="spellEnd"/>
      <w:r w:rsidRPr="00AF18B4">
        <w:rPr>
          <w:rFonts w:ascii="Times New Roman" w:hAnsi="Times New Roman" w:cs="Times New Roman"/>
          <w:color w:val="222222"/>
          <w:sz w:val="20"/>
          <w:szCs w:val="20"/>
          <w:shd w:val="clear" w:color="auto" w:fill="FFFFFF"/>
        </w:rPr>
        <w:t xml:space="preserve">, E., </w:t>
      </w:r>
      <w:proofErr w:type="spellStart"/>
      <w:r w:rsidRPr="00AF18B4">
        <w:rPr>
          <w:rFonts w:ascii="Times New Roman" w:hAnsi="Times New Roman" w:cs="Times New Roman"/>
          <w:color w:val="222222"/>
          <w:sz w:val="20"/>
          <w:szCs w:val="20"/>
          <w:shd w:val="clear" w:color="auto" w:fill="FFFFFF"/>
        </w:rPr>
        <w:t>deHaan</w:t>
      </w:r>
      <w:proofErr w:type="spellEnd"/>
      <w:r w:rsidRPr="00AF18B4">
        <w:rPr>
          <w:rFonts w:ascii="Times New Roman" w:hAnsi="Times New Roman" w:cs="Times New Roman"/>
          <w:color w:val="222222"/>
          <w:sz w:val="20"/>
          <w:szCs w:val="20"/>
          <w:shd w:val="clear" w:color="auto" w:fill="FFFFFF"/>
        </w:rPr>
        <w:t>, E., &amp; Marinovic, I. (2020). Disclosure processing costs, investors’ information choice, and equity market outcomes: A review. </w:t>
      </w:r>
      <w:r w:rsidRPr="00AF18B4">
        <w:rPr>
          <w:rFonts w:ascii="Times New Roman" w:hAnsi="Times New Roman" w:cs="Times New Roman"/>
          <w:i/>
          <w:iCs/>
          <w:color w:val="222222"/>
          <w:sz w:val="20"/>
          <w:szCs w:val="20"/>
          <w:shd w:val="clear" w:color="auto" w:fill="FFFFFF"/>
        </w:rPr>
        <w:t>Journal of Accounting and Economics</w:t>
      </w:r>
      <w:r w:rsidRPr="00AF18B4">
        <w:rPr>
          <w:rFonts w:ascii="Times New Roman" w:hAnsi="Times New Roman" w:cs="Times New Roman"/>
          <w:color w:val="222222"/>
          <w:sz w:val="20"/>
          <w:szCs w:val="20"/>
          <w:shd w:val="clear" w:color="auto" w:fill="FFFFFF"/>
        </w:rPr>
        <w:t>, </w:t>
      </w:r>
      <w:r w:rsidRPr="00AF18B4">
        <w:rPr>
          <w:rFonts w:ascii="Times New Roman" w:hAnsi="Times New Roman" w:cs="Times New Roman"/>
          <w:i/>
          <w:iCs/>
          <w:color w:val="222222"/>
          <w:sz w:val="20"/>
          <w:szCs w:val="20"/>
          <w:shd w:val="clear" w:color="auto" w:fill="FFFFFF"/>
        </w:rPr>
        <w:t>70</w:t>
      </w:r>
      <w:r w:rsidRPr="00AF18B4">
        <w:rPr>
          <w:rFonts w:ascii="Times New Roman" w:hAnsi="Times New Roman" w:cs="Times New Roman"/>
          <w:color w:val="222222"/>
          <w:sz w:val="20"/>
          <w:szCs w:val="20"/>
          <w:shd w:val="clear" w:color="auto" w:fill="FFFFFF"/>
        </w:rPr>
        <w:t>(2-3), 101344.</w:t>
      </w:r>
    </w:p>
    <w:p w14:paraId="52364D47" w14:textId="77777777" w:rsidR="00AF18B4" w:rsidRPr="00AF18B4" w:rsidRDefault="00AF18B4" w:rsidP="00AF18B4">
      <w:pPr>
        <w:ind w:left="720" w:hanging="720"/>
        <w:rPr>
          <w:rFonts w:ascii="Times New Roman" w:hAnsi="Times New Roman" w:cs="Times New Roman"/>
          <w:color w:val="222222"/>
          <w:sz w:val="20"/>
          <w:szCs w:val="20"/>
          <w:shd w:val="clear" w:color="auto" w:fill="FFFFFF"/>
        </w:rPr>
      </w:pPr>
      <w:r w:rsidRPr="00AF18B4">
        <w:rPr>
          <w:rFonts w:ascii="Times New Roman" w:hAnsi="Times New Roman" w:cs="Times New Roman"/>
          <w:color w:val="222222"/>
          <w:sz w:val="20"/>
          <w:szCs w:val="20"/>
          <w:shd w:val="clear" w:color="auto" w:fill="FFFFFF"/>
        </w:rPr>
        <w:t xml:space="preserve">Bradshaw, M. T., </w:t>
      </w:r>
      <w:proofErr w:type="spellStart"/>
      <w:r w:rsidRPr="00AF18B4">
        <w:rPr>
          <w:rFonts w:ascii="Times New Roman" w:hAnsi="Times New Roman" w:cs="Times New Roman"/>
          <w:color w:val="222222"/>
          <w:sz w:val="20"/>
          <w:szCs w:val="20"/>
          <w:shd w:val="clear" w:color="auto" w:fill="FFFFFF"/>
        </w:rPr>
        <w:t>Ertimur</w:t>
      </w:r>
      <w:proofErr w:type="spellEnd"/>
      <w:r w:rsidRPr="00AF18B4">
        <w:rPr>
          <w:rFonts w:ascii="Times New Roman" w:hAnsi="Times New Roman" w:cs="Times New Roman"/>
          <w:color w:val="222222"/>
          <w:sz w:val="20"/>
          <w:szCs w:val="20"/>
          <w:shd w:val="clear" w:color="auto" w:fill="FFFFFF"/>
        </w:rPr>
        <w:t>, Y., &amp; O'Brien, P. C. (2017). Financial analysts and their contribution to well-functioning capital markets.</w:t>
      </w:r>
    </w:p>
    <w:p w14:paraId="453AC715" w14:textId="074C444B" w:rsidR="00AF18B4" w:rsidRPr="00AF18B4" w:rsidRDefault="00AF18B4" w:rsidP="00AF18B4">
      <w:pPr>
        <w:ind w:left="720" w:hanging="720"/>
        <w:rPr>
          <w:rFonts w:ascii="Times New Roman" w:hAnsi="Times New Roman" w:cs="Times New Roman"/>
        </w:rPr>
      </w:pPr>
      <w:r w:rsidRPr="00AF18B4">
        <w:rPr>
          <w:rFonts w:ascii="Times New Roman" w:hAnsi="Times New Roman" w:cs="Times New Roman"/>
          <w:color w:val="222222"/>
          <w:sz w:val="20"/>
          <w:szCs w:val="20"/>
          <w:shd w:val="clear" w:color="auto" w:fill="FFFFFF"/>
        </w:rPr>
        <w:t>Brown, L. D., Call, A. C., Clement, M. B., &amp; Sharp, N. Y. (2015). Inside the “black box” of sell‐side financial analysts. </w:t>
      </w:r>
      <w:r w:rsidRPr="00AF18B4">
        <w:rPr>
          <w:rFonts w:ascii="Times New Roman" w:hAnsi="Times New Roman" w:cs="Times New Roman"/>
          <w:i/>
          <w:iCs/>
          <w:color w:val="222222"/>
          <w:sz w:val="20"/>
          <w:szCs w:val="20"/>
          <w:shd w:val="clear" w:color="auto" w:fill="FFFFFF"/>
        </w:rPr>
        <w:t>Journal of Accounting Research</w:t>
      </w:r>
      <w:r w:rsidRPr="00AF18B4">
        <w:rPr>
          <w:rFonts w:ascii="Times New Roman" w:hAnsi="Times New Roman" w:cs="Times New Roman"/>
          <w:color w:val="222222"/>
          <w:sz w:val="20"/>
          <w:szCs w:val="20"/>
          <w:shd w:val="clear" w:color="auto" w:fill="FFFFFF"/>
        </w:rPr>
        <w:t>, </w:t>
      </w:r>
      <w:r w:rsidRPr="00AF18B4">
        <w:rPr>
          <w:rFonts w:ascii="Times New Roman" w:hAnsi="Times New Roman" w:cs="Times New Roman"/>
          <w:i/>
          <w:iCs/>
          <w:color w:val="222222"/>
          <w:sz w:val="20"/>
          <w:szCs w:val="20"/>
          <w:shd w:val="clear" w:color="auto" w:fill="FFFFFF"/>
        </w:rPr>
        <w:t>53</w:t>
      </w:r>
      <w:r w:rsidRPr="00AF18B4">
        <w:rPr>
          <w:rFonts w:ascii="Times New Roman" w:hAnsi="Times New Roman" w:cs="Times New Roman"/>
          <w:color w:val="222222"/>
          <w:sz w:val="20"/>
          <w:szCs w:val="20"/>
          <w:shd w:val="clear" w:color="auto" w:fill="FFFFFF"/>
        </w:rPr>
        <w:t>(1), 1-47.</w:t>
      </w:r>
    </w:p>
    <w:p w14:paraId="101F9CE5" w14:textId="77777777" w:rsidR="00AF18B4" w:rsidRPr="00AF18B4" w:rsidRDefault="00AF18B4" w:rsidP="00AF18B4">
      <w:pPr>
        <w:ind w:left="720" w:hanging="720"/>
        <w:rPr>
          <w:rFonts w:ascii="Times New Roman" w:hAnsi="Times New Roman" w:cs="Times New Roman"/>
          <w:color w:val="222222"/>
          <w:sz w:val="20"/>
          <w:szCs w:val="20"/>
          <w:shd w:val="clear" w:color="auto" w:fill="FFFFFF"/>
        </w:rPr>
      </w:pPr>
      <w:r w:rsidRPr="00AF18B4">
        <w:rPr>
          <w:rFonts w:ascii="Times New Roman" w:hAnsi="Times New Roman" w:cs="Times New Roman"/>
          <w:color w:val="222222"/>
          <w:sz w:val="20"/>
          <w:szCs w:val="20"/>
          <w:shd w:val="clear" w:color="auto" w:fill="FFFFFF"/>
        </w:rPr>
        <w:t xml:space="preserve">Diether, K. B., Malloy, C. J., &amp; </w:t>
      </w:r>
      <w:proofErr w:type="spellStart"/>
      <w:r w:rsidRPr="00AF18B4">
        <w:rPr>
          <w:rFonts w:ascii="Times New Roman" w:hAnsi="Times New Roman" w:cs="Times New Roman"/>
          <w:color w:val="222222"/>
          <w:sz w:val="20"/>
          <w:szCs w:val="20"/>
          <w:shd w:val="clear" w:color="auto" w:fill="FFFFFF"/>
        </w:rPr>
        <w:t>Scherbina</w:t>
      </w:r>
      <w:proofErr w:type="spellEnd"/>
      <w:r w:rsidRPr="00AF18B4">
        <w:rPr>
          <w:rFonts w:ascii="Times New Roman" w:hAnsi="Times New Roman" w:cs="Times New Roman"/>
          <w:color w:val="222222"/>
          <w:sz w:val="20"/>
          <w:szCs w:val="20"/>
          <w:shd w:val="clear" w:color="auto" w:fill="FFFFFF"/>
        </w:rPr>
        <w:t>, A. (2002). Differences of opinion and the cross section of stock returns. </w:t>
      </w:r>
      <w:r w:rsidRPr="00AF18B4">
        <w:rPr>
          <w:rFonts w:ascii="Times New Roman" w:hAnsi="Times New Roman" w:cs="Times New Roman"/>
          <w:i/>
          <w:iCs/>
          <w:color w:val="222222"/>
          <w:sz w:val="20"/>
          <w:szCs w:val="20"/>
          <w:shd w:val="clear" w:color="auto" w:fill="FFFFFF"/>
        </w:rPr>
        <w:t>The Journal of Finance</w:t>
      </w:r>
      <w:r w:rsidRPr="00AF18B4">
        <w:rPr>
          <w:rFonts w:ascii="Times New Roman" w:hAnsi="Times New Roman" w:cs="Times New Roman"/>
          <w:color w:val="222222"/>
          <w:sz w:val="20"/>
          <w:szCs w:val="20"/>
          <w:shd w:val="clear" w:color="auto" w:fill="FFFFFF"/>
        </w:rPr>
        <w:t>, </w:t>
      </w:r>
      <w:r w:rsidRPr="00AF18B4">
        <w:rPr>
          <w:rFonts w:ascii="Times New Roman" w:hAnsi="Times New Roman" w:cs="Times New Roman"/>
          <w:i/>
          <w:iCs/>
          <w:color w:val="222222"/>
          <w:sz w:val="20"/>
          <w:szCs w:val="20"/>
          <w:shd w:val="clear" w:color="auto" w:fill="FFFFFF"/>
        </w:rPr>
        <w:t>57</w:t>
      </w:r>
      <w:r w:rsidRPr="00AF18B4">
        <w:rPr>
          <w:rFonts w:ascii="Times New Roman" w:hAnsi="Times New Roman" w:cs="Times New Roman"/>
          <w:color w:val="222222"/>
          <w:sz w:val="20"/>
          <w:szCs w:val="20"/>
          <w:shd w:val="clear" w:color="auto" w:fill="FFFFFF"/>
        </w:rPr>
        <w:t>(5), 2113-2141.</w:t>
      </w:r>
    </w:p>
    <w:p w14:paraId="5771B192" w14:textId="13E49EA8" w:rsidR="00AF18B4" w:rsidRPr="00AF18B4" w:rsidRDefault="00AF18B4" w:rsidP="00AF18B4">
      <w:pPr>
        <w:ind w:left="720" w:hanging="720"/>
        <w:rPr>
          <w:rFonts w:ascii="Times New Roman" w:hAnsi="Times New Roman" w:cs="Times New Roman"/>
          <w:color w:val="222222"/>
          <w:sz w:val="20"/>
          <w:szCs w:val="20"/>
          <w:shd w:val="clear" w:color="auto" w:fill="FFFFFF"/>
        </w:rPr>
      </w:pPr>
      <w:r w:rsidRPr="00AF18B4">
        <w:rPr>
          <w:rFonts w:ascii="Times New Roman" w:hAnsi="Times New Roman" w:cs="Times New Roman"/>
          <w:color w:val="222222"/>
          <w:sz w:val="20"/>
          <w:szCs w:val="20"/>
          <w:shd w:val="clear" w:color="auto" w:fill="FFFFFF"/>
        </w:rPr>
        <w:t>Johnson, T. C. (2004). Forecast dispersion and the cross section of expected returns. </w:t>
      </w:r>
      <w:r w:rsidRPr="00AF18B4">
        <w:rPr>
          <w:rFonts w:ascii="Times New Roman" w:hAnsi="Times New Roman" w:cs="Times New Roman"/>
          <w:i/>
          <w:iCs/>
          <w:color w:val="222222"/>
          <w:sz w:val="20"/>
          <w:szCs w:val="20"/>
          <w:shd w:val="clear" w:color="auto" w:fill="FFFFFF"/>
        </w:rPr>
        <w:t>The Journal of Finance</w:t>
      </w:r>
      <w:r w:rsidRPr="00AF18B4">
        <w:rPr>
          <w:rFonts w:ascii="Times New Roman" w:hAnsi="Times New Roman" w:cs="Times New Roman"/>
          <w:color w:val="222222"/>
          <w:sz w:val="20"/>
          <w:szCs w:val="20"/>
          <w:shd w:val="clear" w:color="auto" w:fill="FFFFFF"/>
        </w:rPr>
        <w:t>, </w:t>
      </w:r>
      <w:r w:rsidRPr="00AF18B4">
        <w:rPr>
          <w:rFonts w:ascii="Times New Roman" w:hAnsi="Times New Roman" w:cs="Times New Roman"/>
          <w:i/>
          <w:iCs/>
          <w:color w:val="222222"/>
          <w:sz w:val="20"/>
          <w:szCs w:val="20"/>
          <w:shd w:val="clear" w:color="auto" w:fill="FFFFFF"/>
        </w:rPr>
        <w:t>59</w:t>
      </w:r>
      <w:r w:rsidRPr="00AF18B4">
        <w:rPr>
          <w:rFonts w:ascii="Times New Roman" w:hAnsi="Times New Roman" w:cs="Times New Roman"/>
          <w:color w:val="222222"/>
          <w:sz w:val="20"/>
          <w:szCs w:val="20"/>
          <w:shd w:val="clear" w:color="auto" w:fill="FFFFFF"/>
        </w:rPr>
        <w:t>(5), 1957-1978.</w:t>
      </w:r>
    </w:p>
    <w:p w14:paraId="3FB60B7A" w14:textId="77777777" w:rsidR="00AF18B4" w:rsidRPr="00AF18B4" w:rsidRDefault="00AF18B4" w:rsidP="00AF18B4">
      <w:pPr>
        <w:ind w:left="720" w:hanging="720"/>
        <w:rPr>
          <w:rFonts w:ascii="Times New Roman" w:hAnsi="Times New Roman" w:cs="Times New Roman"/>
          <w:color w:val="222222"/>
          <w:sz w:val="20"/>
          <w:szCs w:val="20"/>
          <w:shd w:val="clear" w:color="auto" w:fill="FFFFFF"/>
        </w:rPr>
      </w:pPr>
      <w:r w:rsidRPr="00AF18B4">
        <w:rPr>
          <w:rFonts w:ascii="Times New Roman" w:hAnsi="Times New Roman" w:cs="Times New Roman"/>
          <w:color w:val="222222"/>
          <w:sz w:val="20"/>
          <w:szCs w:val="20"/>
          <w:shd w:val="clear" w:color="auto" w:fill="FFFFFF"/>
        </w:rPr>
        <w:t xml:space="preserve">Lang, M. H., &amp; </w:t>
      </w:r>
      <w:proofErr w:type="spellStart"/>
      <w:r w:rsidRPr="00AF18B4">
        <w:rPr>
          <w:rFonts w:ascii="Times New Roman" w:hAnsi="Times New Roman" w:cs="Times New Roman"/>
          <w:color w:val="222222"/>
          <w:sz w:val="20"/>
          <w:szCs w:val="20"/>
          <w:shd w:val="clear" w:color="auto" w:fill="FFFFFF"/>
        </w:rPr>
        <w:t>Lundholm</w:t>
      </w:r>
      <w:proofErr w:type="spellEnd"/>
      <w:r w:rsidRPr="00AF18B4">
        <w:rPr>
          <w:rFonts w:ascii="Times New Roman" w:hAnsi="Times New Roman" w:cs="Times New Roman"/>
          <w:color w:val="222222"/>
          <w:sz w:val="20"/>
          <w:szCs w:val="20"/>
          <w:shd w:val="clear" w:color="auto" w:fill="FFFFFF"/>
        </w:rPr>
        <w:t>, R. J. (1996). Corporate disclosure policy and analyst behavior. </w:t>
      </w:r>
      <w:r w:rsidRPr="00AF18B4">
        <w:rPr>
          <w:rFonts w:ascii="Times New Roman" w:hAnsi="Times New Roman" w:cs="Times New Roman"/>
          <w:i/>
          <w:iCs/>
          <w:color w:val="222222"/>
          <w:sz w:val="20"/>
          <w:szCs w:val="20"/>
          <w:shd w:val="clear" w:color="auto" w:fill="FFFFFF"/>
        </w:rPr>
        <w:t>Accounting review</w:t>
      </w:r>
      <w:r w:rsidRPr="00AF18B4">
        <w:rPr>
          <w:rFonts w:ascii="Times New Roman" w:hAnsi="Times New Roman" w:cs="Times New Roman"/>
          <w:color w:val="222222"/>
          <w:sz w:val="20"/>
          <w:szCs w:val="20"/>
          <w:shd w:val="clear" w:color="auto" w:fill="FFFFFF"/>
        </w:rPr>
        <w:t>, 467-492.</w:t>
      </w:r>
    </w:p>
    <w:p w14:paraId="45E30E34" w14:textId="2E9EB75C" w:rsidR="00AF18B4" w:rsidRPr="00AF18B4" w:rsidRDefault="00AF18B4" w:rsidP="00AF18B4">
      <w:pPr>
        <w:ind w:left="720" w:hanging="720"/>
        <w:rPr>
          <w:rFonts w:ascii="Times New Roman" w:hAnsi="Times New Roman" w:cs="Times New Roman"/>
          <w:color w:val="222222"/>
          <w:sz w:val="20"/>
          <w:szCs w:val="20"/>
          <w:shd w:val="clear" w:color="auto" w:fill="FFFFFF"/>
        </w:rPr>
      </w:pPr>
      <w:r w:rsidRPr="00AF18B4">
        <w:rPr>
          <w:rFonts w:ascii="Times New Roman" w:hAnsi="Times New Roman" w:cs="Times New Roman"/>
          <w:color w:val="222222"/>
          <w:sz w:val="20"/>
          <w:szCs w:val="20"/>
          <w:shd w:val="clear" w:color="auto" w:fill="FFFFFF"/>
        </w:rPr>
        <w:t>Lee, C. M. (2016). Commentary On: Do Analyst Forecasts Vary Too Much? </w:t>
      </w:r>
      <w:r w:rsidRPr="00AF18B4">
        <w:rPr>
          <w:rFonts w:ascii="Times New Roman" w:hAnsi="Times New Roman" w:cs="Times New Roman"/>
          <w:i/>
          <w:iCs/>
          <w:color w:val="222222"/>
          <w:sz w:val="20"/>
          <w:szCs w:val="20"/>
          <w:shd w:val="clear" w:color="auto" w:fill="FFFFFF"/>
        </w:rPr>
        <w:t>Journal of Financial Reporting</w:t>
      </w:r>
      <w:r w:rsidRPr="00AF18B4">
        <w:rPr>
          <w:rFonts w:ascii="Times New Roman" w:hAnsi="Times New Roman" w:cs="Times New Roman"/>
          <w:color w:val="222222"/>
          <w:sz w:val="20"/>
          <w:szCs w:val="20"/>
          <w:shd w:val="clear" w:color="auto" w:fill="FFFFFF"/>
        </w:rPr>
        <w:t>, </w:t>
      </w:r>
      <w:r w:rsidRPr="00AF18B4">
        <w:rPr>
          <w:rFonts w:ascii="Times New Roman" w:hAnsi="Times New Roman" w:cs="Times New Roman"/>
          <w:i/>
          <w:iCs/>
          <w:color w:val="222222"/>
          <w:sz w:val="20"/>
          <w:szCs w:val="20"/>
          <w:shd w:val="clear" w:color="auto" w:fill="FFFFFF"/>
        </w:rPr>
        <w:t>1</w:t>
      </w:r>
      <w:r w:rsidRPr="00AF18B4">
        <w:rPr>
          <w:rFonts w:ascii="Times New Roman" w:hAnsi="Times New Roman" w:cs="Times New Roman"/>
          <w:color w:val="222222"/>
          <w:sz w:val="20"/>
          <w:szCs w:val="20"/>
          <w:shd w:val="clear" w:color="auto" w:fill="FFFFFF"/>
        </w:rPr>
        <w:t>(1), 127-129.</w:t>
      </w:r>
    </w:p>
    <w:p w14:paraId="32A4B449" w14:textId="77777777" w:rsidR="00AF18B4" w:rsidRPr="00AF18B4" w:rsidRDefault="00AF18B4" w:rsidP="00AF18B4">
      <w:pPr>
        <w:ind w:left="720" w:hanging="720"/>
        <w:rPr>
          <w:rFonts w:ascii="Times New Roman" w:hAnsi="Times New Roman" w:cs="Times New Roman"/>
          <w:color w:val="222222"/>
          <w:sz w:val="20"/>
          <w:szCs w:val="20"/>
          <w:shd w:val="clear" w:color="auto" w:fill="FFFFFF"/>
        </w:rPr>
      </w:pPr>
      <w:r w:rsidRPr="00AF18B4">
        <w:rPr>
          <w:rFonts w:ascii="Times New Roman" w:hAnsi="Times New Roman" w:cs="Times New Roman"/>
          <w:color w:val="222222"/>
          <w:sz w:val="20"/>
          <w:szCs w:val="20"/>
          <w:shd w:val="clear" w:color="auto" w:fill="FFFFFF"/>
        </w:rPr>
        <w:t>Liu, X. G., &amp; Natarajan, R. (2012). The effect of financial analysts' strategic behavior on analysts' forecast dispersion. </w:t>
      </w:r>
      <w:r w:rsidRPr="00AF18B4">
        <w:rPr>
          <w:rFonts w:ascii="Times New Roman" w:hAnsi="Times New Roman" w:cs="Times New Roman"/>
          <w:i/>
          <w:iCs/>
          <w:color w:val="222222"/>
          <w:sz w:val="20"/>
          <w:szCs w:val="20"/>
          <w:shd w:val="clear" w:color="auto" w:fill="FFFFFF"/>
        </w:rPr>
        <w:t>The Accounting Review</w:t>
      </w:r>
      <w:r w:rsidRPr="00AF18B4">
        <w:rPr>
          <w:rFonts w:ascii="Times New Roman" w:hAnsi="Times New Roman" w:cs="Times New Roman"/>
          <w:color w:val="222222"/>
          <w:sz w:val="20"/>
          <w:szCs w:val="20"/>
          <w:shd w:val="clear" w:color="auto" w:fill="FFFFFF"/>
        </w:rPr>
        <w:t>, </w:t>
      </w:r>
      <w:r w:rsidRPr="00AF18B4">
        <w:rPr>
          <w:rFonts w:ascii="Times New Roman" w:hAnsi="Times New Roman" w:cs="Times New Roman"/>
          <w:i/>
          <w:iCs/>
          <w:color w:val="222222"/>
          <w:sz w:val="20"/>
          <w:szCs w:val="20"/>
          <w:shd w:val="clear" w:color="auto" w:fill="FFFFFF"/>
        </w:rPr>
        <w:t>87</w:t>
      </w:r>
      <w:r w:rsidRPr="00AF18B4">
        <w:rPr>
          <w:rFonts w:ascii="Times New Roman" w:hAnsi="Times New Roman" w:cs="Times New Roman"/>
          <w:color w:val="222222"/>
          <w:sz w:val="20"/>
          <w:szCs w:val="20"/>
          <w:shd w:val="clear" w:color="auto" w:fill="FFFFFF"/>
        </w:rPr>
        <w:t>(6), 2123-2149.</w:t>
      </w:r>
    </w:p>
    <w:p w14:paraId="23E4A61A" w14:textId="31373951" w:rsidR="00AF18B4" w:rsidRPr="00AF18B4" w:rsidRDefault="00AF18B4" w:rsidP="00AF18B4">
      <w:pPr>
        <w:ind w:left="720" w:hanging="720"/>
        <w:rPr>
          <w:rFonts w:ascii="Times New Roman" w:hAnsi="Times New Roman" w:cs="Times New Roman"/>
          <w:color w:val="222222"/>
          <w:sz w:val="20"/>
          <w:szCs w:val="20"/>
          <w:shd w:val="clear" w:color="auto" w:fill="FFFFFF"/>
        </w:rPr>
      </w:pPr>
      <w:proofErr w:type="spellStart"/>
      <w:r w:rsidRPr="00AF18B4">
        <w:rPr>
          <w:rFonts w:ascii="Times New Roman" w:hAnsi="Times New Roman" w:cs="Times New Roman"/>
          <w:color w:val="222222"/>
          <w:sz w:val="20"/>
          <w:szCs w:val="20"/>
          <w:shd w:val="clear" w:color="auto" w:fill="FFFFFF"/>
        </w:rPr>
        <w:t>Lundholm</w:t>
      </w:r>
      <w:proofErr w:type="spellEnd"/>
      <w:r w:rsidRPr="00AF18B4">
        <w:rPr>
          <w:rFonts w:ascii="Times New Roman" w:hAnsi="Times New Roman" w:cs="Times New Roman"/>
          <w:color w:val="222222"/>
          <w:sz w:val="20"/>
          <w:szCs w:val="20"/>
          <w:shd w:val="clear" w:color="auto" w:fill="FFFFFF"/>
        </w:rPr>
        <w:t xml:space="preserve">, R. J., &amp; </w:t>
      </w:r>
      <w:proofErr w:type="spellStart"/>
      <w:r w:rsidRPr="00AF18B4">
        <w:rPr>
          <w:rFonts w:ascii="Times New Roman" w:hAnsi="Times New Roman" w:cs="Times New Roman"/>
          <w:color w:val="222222"/>
          <w:sz w:val="20"/>
          <w:szCs w:val="20"/>
          <w:shd w:val="clear" w:color="auto" w:fill="FFFFFF"/>
        </w:rPr>
        <w:t>Rogo</w:t>
      </w:r>
      <w:proofErr w:type="spellEnd"/>
      <w:r w:rsidRPr="00AF18B4">
        <w:rPr>
          <w:rFonts w:ascii="Times New Roman" w:hAnsi="Times New Roman" w:cs="Times New Roman"/>
          <w:color w:val="222222"/>
          <w:sz w:val="20"/>
          <w:szCs w:val="20"/>
          <w:shd w:val="clear" w:color="auto" w:fill="FFFFFF"/>
        </w:rPr>
        <w:t>, R. (2016). Do analyst forecasts vary too much? </w:t>
      </w:r>
      <w:r w:rsidRPr="00AF18B4">
        <w:rPr>
          <w:rFonts w:ascii="Times New Roman" w:hAnsi="Times New Roman" w:cs="Times New Roman"/>
          <w:i/>
          <w:iCs/>
          <w:color w:val="222222"/>
          <w:sz w:val="20"/>
          <w:szCs w:val="20"/>
          <w:shd w:val="clear" w:color="auto" w:fill="FFFFFF"/>
        </w:rPr>
        <w:t>Journal of Financial Reporting</w:t>
      </w:r>
      <w:r w:rsidRPr="00AF18B4">
        <w:rPr>
          <w:rFonts w:ascii="Times New Roman" w:hAnsi="Times New Roman" w:cs="Times New Roman"/>
          <w:color w:val="222222"/>
          <w:sz w:val="20"/>
          <w:szCs w:val="20"/>
          <w:shd w:val="clear" w:color="auto" w:fill="FFFFFF"/>
        </w:rPr>
        <w:t>, </w:t>
      </w:r>
      <w:r w:rsidRPr="00AF18B4">
        <w:rPr>
          <w:rFonts w:ascii="Times New Roman" w:hAnsi="Times New Roman" w:cs="Times New Roman"/>
          <w:i/>
          <w:iCs/>
          <w:color w:val="222222"/>
          <w:sz w:val="20"/>
          <w:szCs w:val="20"/>
          <w:shd w:val="clear" w:color="auto" w:fill="FFFFFF"/>
        </w:rPr>
        <w:t>1</w:t>
      </w:r>
      <w:r w:rsidRPr="00AF18B4">
        <w:rPr>
          <w:rFonts w:ascii="Times New Roman" w:hAnsi="Times New Roman" w:cs="Times New Roman"/>
          <w:color w:val="222222"/>
          <w:sz w:val="20"/>
          <w:szCs w:val="20"/>
          <w:shd w:val="clear" w:color="auto" w:fill="FFFFFF"/>
        </w:rPr>
        <w:t>(1), 101-123.</w:t>
      </w:r>
    </w:p>
    <w:p w14:paraId="15C507E4" w14:textId="77777777" w:rsidR="00AF18B4" w:rsidRPr="00AF18B4" w:rsidRDefault="00AF18B4" w:rsidP="00AF18B4">
      <w:pPr>
        <w:ind w:left="720" w:hanging="720"/>
        <w:rPr>
          <w:rFonts w:ascii="Times New Roman" w:hAnsi="Times New Roman" w:cs="Times New Roman"/>
        </w:rPr>
      </w:pPr>
      <w:r w:rsidRPr="00AF18B4">
        <w:rPr>
          <w:rFonts w:ascii="Times New Roman" w:hAnsi="Times New Roman" w:cs="Times New Roman"/>
          <w:color w:val="222222"/>
          <w:sz w:val="20"/>
          <w:szCs w:val="20"/>
          <w:shd w:val="clear" w:color="auto" w:fill="FFFFFF"/>
        </w:rPr>
        <w:t>Rees, L., &amp; Thomas, W. (2010). The stock price effects of changes in dispersion of investor beliefs during earnings announcements. </w:t>
      </w:r>
      <w:r w:rsidRPr="00AF18B4">
        <w:rPr>
          <w:rFonts w:ascii="Times New Roman" w:hAnsi="Times New Roman" w:cs="Times New Roman"/>
          <w:i/>
          <w:iCs/>
          <w:color w:val="222222"/>
          <w:sz w:val="20"/>
          <w:szCs w:val="20"/>
          <w:shd w:val="clear" w:color="auto" w:fill="FFFFFF"/>
        </w:rPr>
        <w:t>Review of Accounting Studies</w:t>
      </w:r>
      <w:r w:rsidRPr="00AF18B4">
        <w:rPr>
          <w:rFonts w:ascii="Times New Roman" w:hAnsi="Times New Roman" w:cs="Times New Roman"/>
          <w:color w:val="222222"/>
          <w:sz w:val="20"/>
          <w:szCs w:val="20"/>
          <w:shd w:val="clear" w:color="auto" w:fill="FFFFFF"/>
        </w:rPr>
        <w:t>, </w:t>
      </w:r>
      <w:r w:rsidRPr="00AF18B4">
        <w:rPr>
          <w:rFonts w:ascii="Times New Roman" w:hAnsi="Times New Roman" w:cs="Times New Roman"/>
          <w:i/>
          <w:iCs/>
          <w:color w:val="222222"/>
          <w:sz w:val="20"/>
          <w:szCs w:val="20"/>
          <w:shd w:val="clear" w:color="auto" w:fill="FFFFFF"/>
        </w:rPr>
        <w:t>15</w:t>
      </w:r>
      <w:r w:rsidRPr="00AF18B4">
        <w:rPr>
          <w:rFonts w:ascii="Times New Roman" w:hAnsi="Times New Roman" w:cs="Times New Roman"/>
          <w:color w:val="222222"/>
          <w:sz w:val="20"/>
          <w:szCs w:val="20"/>
          <w:shd w:val="clear" w:color="auto" w:fill="FFFFFF"/>
        </w:rPr>
        <w:t>(1), 1-31.</w:t>
      </w:r>
    </w:p>
    <w:p w14:paraId="71FF8AF9" w14:textId="73836804" w:rsidR="00BC622F" w:rsidRPr="00AF18B4" w:rsidRDefault="00BC622F" w:rsidP="00961CF5">
      <w:pPr>
        <w:rPr>
          <w:rFonts w:ascii="Times New Roman" w:hAnsi="Times New Roman" w:cs="Times New Roman"/>
        </w:rPr>
      </w:pPr>
    </w:p>
    <w:sectPr w:rsidR="00BC622F" w:rsidRPr="00AF18B4" w:rsidSect="006D5C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93AB3" w14:textId="77777777" w:rsidR="0094217D" w:rsidRDefault="0094217D" w:rsidP="0043213D">
      <w:r>
        <w:separator/>
      </w:r>
    </w:p>
  </w:endnote>
  <w:endnote w:type="continuationSeparator" w:id="0">
    <w:p w14:paraId="670A226A" w14:textId="77777777" w:rsidR="0094217D" w:rsidRDefault="0094217D" w:rsidP="0043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altName w:val="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7DA3A" w14:textId="77777777" w:rsidR="0094217D" w:rsidRDefault="0094217D" w:rsidP="0043213D">
      <w:r>
        <w:separator/>
      </w:r>
    </w:p>
  </w:footnote>
  <w:footnote w:type="continuationSeparator" w:id="0">
    <w:p w14:paraId="59A04587" w14:textId="77777777" w:rsidR="0094217D" w:rsidRDefault="0094217D" w:rsidP="00432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280458"/>
    <w:multiLevelType w:val="hybridMultilevel"/>
    <w:tmpl w:val="78C81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119B9"/>
    <w:multiLevelType w:val="hybridMultilevel"/>
    <w:tmpl w:val="2A98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F7"/>
    <w:rsid w:val="00086480"/>
    <w:rsid w:val="000D2855"/>
    <w:rsid w:val="00166D7A"/>
    <w:rsid w:val="001E7C59"/>
    <w:rsid w:val="002037D2"/>
    <w:rsid w:val="00212499"/>
    <w:rsid w:val="00227E10"/>
    <w:rsid w:val="00230EB0"/>
    <w:rsid w:val="002650DB"/>
    <w:rsid w:val="00265B5C"/>
    <w:rsid w:val="002B73E7"/>
    <w:rsid w:val="002F6396"/>
    <w:rsid w:val="00333803"/>
    <w:rsid w:val="00372B2F"/>
    <w:rsid w:val="003958B2"/>
    <w:rsid w:val="003C6193"/>
    <w:rsid w:val="0043213D"/>
    <w:rsid w:val="004471AD"/>
    <w:rsid w:val="004B3391"/>
    <w:rsid w:val="00525996"/>
    <w:rsid w:val="005623BE"/>
    <w:rsid w:val="00594851"/>
    <w:rsid w:val="005C31F9"/>
    <w:rsid w:val="006109A6"/>
    <w:rsid w:val="006844AF"/>
    <w:rsid w:val="006A29AF"/>
    <w:rsid w:val="006D5C70"/>
    <w:rsid w:val="006D7B5A"/>
    <w:rsid w:val="006E7723"/>
    <w:rsid w:val="0071765A"/>
    <w:rsid w:val="00826657"/>
    <w:rsid w:val="00922900"/>
    <w:rsid w:val="0094217D"/>
    <w:rsid w:val="00961CF5"/>
    <w:rsid w:val="00977B32"/>
    <w:rsid w:val="00A50EC9"/>
    <w:rsid w:val="00A92C55"/>
    <w:rsid w:val="00AA1EF7"/>
    <w:rsid w:val="00AA485B"/>
    <w:rsid w:val="00AF18B4"/>
    <w:rsid w:val="00B533B4"/>
    <w:rsid w:val="00BC622F"/>
    <w:rsid w:val="00C064AB"/>
    <w:rsid w:val="00C30FB0"/>
    <w:rsid w:val="00C36893"/>
    <w:rsid w:val="00CB6E6F"/>
    <w:rsid w:val="00CD1333"/>
    <w:rsid w:val="00D40646"/>
    <w:rsid w:val="00E11362"/>
    <w:rsid w:val="00E4622B"/>
    <w:rsid w:val="00EC2DBC"/>
    <w:rsid w:val="00EF649B"/>
    <w:rsid w:val="00F33105"/>
    <w:rsid w:val="00FA243A"/>
    <w:rsid w:val="00FA5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965EB"/>
  <w15:chartTrackingRefBased/>
  <w15:docId w15:val="{2820168D-A85E-9C43-A802-2085170A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1CF5"/>
    <w:pPr>
      <w:ind w:left="720"/>
      <w:contextualSpacing/>
    </w:pPr>
  </w:style>
  <w:style w:type="table" w:styleId="a4">
    <w:name w:val="Table Grid"/>
    <w:basedOn w:val="a1"/>
    <w:uiPriority w:val="39"/>
    <w:rsid w:val="00203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826657"/>
    <w:pPr>
      <w:spacing w:before="100" w:beforeAutospacing="1" w:after="100" w:afterAutospacing="1"/>
    </w:pPr>
    <w:rPr>
      <w:rFonts w:ascii="Times New Roman" w:eastAsia="Times New Roman" w:hAnsi="Times New Roman" w:cs="Times New Roman"/>
    </w:rPr>
  </w:style>
  <w:style w:type="character" w:styleId="a6">
    <w:name w:val="Placeholder Text"/>
    <w:basedOn w:val="a0"/>
    <w:uiPriority w:val="99"/>
    <w:semiHidden/>
    <w:rsid w:val="00EF649B"/>
    <w:rPr>
      <w:color w:val="808080"/>
    </w:rPr>
  </w:style>
  <w:style w:type="paragraph" w:styleId="a7">
    <w:name w:val="header"/>
    <w:basedOn w:val="a"/>
    <w:link w:val="a8"/>
    <w:uiPriority w:val="99"/>
    <w:unhideWhenUsed/>
    <w:rsid w:val="0043213D"/>
    <w:pPr>
      <w:tabs>
        <w:tab w:val="center" w:pos="4320"/>
        <w:tab w:val="right" w:pos="8640"/>
      </w:tabs>
    </w:pPr>
  </w:style>
  <w:style w:type="character" w:customStyle="1" w:styleId="a8">
    <w:name w:val="页眉 字符"/>
    <w:basedOn w:val="a0"/>
    <w:link w:val="a7"/>
    <w:uiPriority w:val="99"/>
    <w:rsid w:val="0043213D"/>
  </w:style>
  <w:style w:type="paragraph" w:styleId="a9">
    <w:name w:val="footer"/>
    <w:basedOn w:val="a"/>
    <w:link w:val="aa"/>
    <w:uiPriority w:val="99"/>
    <w:unhideWhenUsed/>
    <w:rsid w:val="0043213D"/>
    <w:pPr>
      <w:tabs>
        <w:tab w:val="center" w:pos="4320"/>
        <w:tab w:val="right" w:pos="8640"/>
      </w:tabs>
    </w:pPr>
  </w:style>
  <w:style w:type="character" w:customStyle="1" w:styleId="aa">
    <w:name w:val="页脚 字符"/>
    <w:basedOn w:val="a0"/>
    <w:link w:val="a9"/>
    <w:uiPriority w:val="99"/>
    <w:rsid w:val="00432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05060">
      <w:bodyDiv w:val="1"/>
      <w:marLeft w:val="0"/>
      <w:marRight w:val="0"/>
      <w:marTop w:val="0"/>
      <w:marBottom w:val="0"/>
      <w:divBdr>
        <w:top w:val="none" w:sz="0" w:space="0" w:color="auto"/>
        <w:left w:val="none" w:sz="0" w:space="0" w:color="auto"/>
        <w:bottom w:val="none" w:sz="0" w:space="0" w:color="auto"/>
        <w:right w:val="none" w:sz="0" w:space="0" w:color="auto"/>
      </w:divBdr>
      <w:divsChild>
        <w:div w:id="1007363268">
          <w:marLeft w:val="0"/>
          <w:marRight w:val="0"/>
          <w:marTop w:val="0"/>
          <w:marBottom w:val="0"/>
          <w:divBdr>
            <w:top w:val="none" w:sz="0" w:space="0" w:color="auto"/>
            <w:left w:val="none" w:sz="0" w:space="0" w:color="auto"/>
            <w:bottom w:val="none" w:sz="0" w:space="0" w:color="auto"/>
            <w:right w:val="none" w:sz="0" w:space="0" w:color="auto"/>
          </w:divBdr>
          <w:divsChild>
            <w:div w:id="1527671557">
              <w:marLeft w:val="0"/>
              <w:marRight w:val="0"/>
              <w:marTop w:val="0"/>
              <w:marBottom w:val="0"/>
              <w:divBdr>
                <w:top w:val="none" w:sz="0" w:space="0" w:color="auto"/>
                <w:left w:val="none" w:sz="0" w:space="0" w:color="auto"/>
                <w:bottom w:val="none" w:sz="0" w:space="0" w:color="auto"/>
                <w:right w:val="none" w:sz="0" w:space="0" w:color="auto"/>
              </w:divBdr>
              <w:divsChild>
                <w:div w:id="460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14705">
      <w:bodyDiv w:val="1"/>
      <w:marLeft w:val="0"/>
      <w:marRight w:val="0"/>
      <w:marTop w:val="0"/>
      <w:marBottom w:val="0"/>
      <w:divBdr>
        <w:top w:val="none" w:sz="0" w:space="0" w:color="auto"/>
        <w:left w:val="none" w:sz="0" w:space="0" w:color="auto"/>
        <w:bottom w:val="none" w:sz="0" w:space="0" w:color="auto"/>
        <w:right w:val="none" w:sz="0" w:space="0" w:color="auto"/>
      </w:divBdr>
      <w:divsChild>
        <w:div w:id="697968957">
          <w:marLeft w:val="0"/>
          <w:marRight w:val="0"/>
          <w:marTop w:val="0"/>
          <w:marBottom w:val="0"/>
          <w:divBdr>
            <w:top w:val="none" w:sz="0" w:space="0" w:color="auto"/>
            <w:left w:val="none" w:sz="0" w:space="0" w:color="auto"/>
            <w:bottom w:val="none" w:sz="0" w:space="0" w:color="auto"/>
            <w:right w:val="none" w:sz="0" w:space="0" w:color="auto"/>
          </w:divBdr>
          <w:divsChild>
            <w:div w:id="39090229">
              <w:marLeft w:val="0"/>
              <w:marRight w:val="0"/>
              <w:marTop w:val="0"/>
              <w:marBottom w:val="0"/>
              <w:divBdr>
                <w:top w:val="none" w:sz="0" w:space="0" w:color="auto"/>
                <w:left w:val="none" w:sz="0" w:space="0" w:color="auto"/>
                <w:bottom w:val="none" w:sz="0" w:space="0" w:color="auto"/>
                <w:right w:val="none" w:sz="0" w:space="0" w:color="auto"/>
              </w:divBdr>
              <w:divsChild>
                <w:div w:id="12572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85598">
      <w:bodyDiv w:val="1"/>
      <w:marLeft w:val="0"/>
      <w:marRight w:val="0"/>
      <w:marTop w:val="0"/>
      <w:marBottom w:val="0"/>
      <w:divBdr>
        <w:top w:val="none" w:sz="0" w:space="0" w:color="auto"/>
        <w:left w:val="none" w:sz="0" w:space="0" w:color="auto"/>
        <w:bottom w:val="none" w:sz="0" w:space="0" w:color="auto"/>
        <w:right w:val="none" w:sz="0" w:space="0" w:color="auto"/>
      </w:divBdr>
      <w:divsChild>
        <w:div w:id="300039259">
          <w:marLeft w:val="0"/>
          <w:marRight w:val="0"/>
          <w:marTop w:val="0"/>
          <w:marBottom w:val="0"/>
          <w:divBdr>
            <w:top w:val="none" w:sz="0" w:space="0" w:color="auto"/>
            <w:left w:val="none" w:sz="0" w:space="0" w:color="auto"/>
            <w:bottom w:val="none" w:sz="0" w:space="0" w:color="auto"/>
            <w:right w:val="none" w:sz="0" w:space="0" w:color="auto"/>
          </w:divBdr>
          <w:divsChild>
            <w:div w:id="1443038369">
              <w:marLeft w:val="0"/>
              <w:marRight w:val="0"/>
              <w:marTop w:val="0"/>
              <w:marBottom w:val="0"/>
              <w:divBdr>
                <w:top w:val="none" w:sz="0" w:space="0" w:color="auto"/>
                <w:left w:val="none" w:sz="0" w:space="0" w:color="auto"/>
                <w:bottom w:val="none" w:sz="0" w:space="0" w:color="auto"/>
                <w:right w:val="none" w:sz="0" w:space="0" w:color="auto"/>
              </w:divBdr>
              <w:divsChild>
                <w:div w:id="13208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1260">
      <w:bodyDiv w:val="1"/>
      <w:marLeft w:val="0"/>
      <w:marRight w:val="0"/>
      <w:marTop w:val="0"/>
      <w:marBottom w:val="0"/>
      <w:divBdr>
        <w:top w:val="none" w:sz="0" w:space="0" w:color="auto"/>
        <w:left w:val="none" w:sz="0" w:space="0" w:color="auto"/>
        <w:bottom w:val="none" w:sz="0" w:space="0" w:color="auto"/>
        <w:right w:val="none" w:sz="0" w:space="0" w:color="auto"/>
      </w:divBdr>
      <w:divsChild>
        <w:div w:id="576282758">
          <w:marLeft w:val="0"/>
          <w:marRight w:val="0"/>
          <w:marTop w:val="0"/>
          <w:marBottom w:val="0"/>
          <w:divBdr>
            <w:top w:val="none" w:sz="0" w:space="0" w:color="auto"/>
            <w:left w:val="none" w:sz="0" w:space="0" w:color="auto"/>
            <w:bottom w:val="none" w:sz="0" w:space="0" w:color="auto"/>
            <w:right w:val="none" w:sz="0" w:space="0" w:color="auto"/>
          </w:divBdr>
          <w:divsChild>
            <w:div w:id="514223186">
              <w:marLeft w:val="0"/>
              <w:marRight w:val="0"/>
              <w:marTop w:val="0"/>
              <w:marBottom w:val="0"/>
              <w:divBdr>
                <w:top w:val="none" w:sz="0" w:space="0" w:color="auto"/>
                <w:left w:val="none" w:sz="0" w:space="0" w:color="auto"/>
                <w:bottom w:val="none" w:sz="0" w:space="0" w:color="auto"/>
                <w:right w:val="none" w:sz="0" w:space="0" w:color="auto"/>
              </w:divBdr>
              <w:divsChild>
                <w:div w:id="9504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6483">
      <w:bodyDiv w:val="1"/>
      <w:marLeft w:val="0"/>
      <w:marRight w:val="0"/>
      <w:marTop w:val="0"/>
      <w:marBottom w:val="0"/>
      <w:divBdr>
        <w:top w:val="none" w:sz="0" w:space="0" w:color="auto"/>
        <w:left w:val="none" w:sz="0" w:space="0" w:color="auto"/>
        <w:bottom w:val="none" w:sz="0" w:space="0" w:color="auto"/>
        <w:right w:val="none" w:sz="0" w:space="0" w:color="auto"/>
      </w:divBdr>
      <w:divsChild>
        <w:div w:id="1221795119">
          <w:marLeft w:val="0"/>
          <w:marRight w:val="0"/>
          <w:marTop w:val="0"/>
          <w:marBottom w:val="0"/>
          <w:divBdr>
            <w:top w:val="none" w:sz="0" w:space="0" w:color="auto"/>
            <w:left w:val="none" w:sz="0" w:space="0" w:color="auto"/>
            <w:bottom w:val="none" w:sz="0" w:space="0" w:color="auto"/>
            <w:right w:val="none" w:sz="0" w:space="0" w:color="auto"/>
          </w:divBdr>
          <w:divsChild>
            <w:div w:id="218781891">
              <w:marLeft w:val="0"/>
              <w:marRight w:val="0"/>
              <w:marTop w:val="0"/>
              <w:marBottom w:val="0"/>
              <w:divBdr>
                <w:top w:val="none" w:sz="0" w:space="0" w:color="auto"/>
                <w:left w:val="none" w:sz="0" w:space="0" w:color="auto"/>
                <w:bottom w:val="none" w:sz="0" w:space="0" w:color="auto"/>
                <w:right w:val="none" w:sz="0" w:space="0" w:color="auto"/>
              </w:divBdr>
              <w:divsChild>
                <w:div w:id="528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133214">
      <w:bodyDiv w:val="1"/>
      <w:marLeft w:val="0"/>
      <w:marRight w:val="0"/>
      <w:marTop w:val="0"/>
      <w:marBottom w:val="0"/>
      <w:divBdr>
        <w:top w:val="none" w:sz="0" w:space="0" w:color="auto"/>
        <w:left w:val="none" w:sz="0" w:space="0" w:color="auto"/>
        <w:bottom w:val="none" w:sz="0" w:space="0" w:color="auto"/>
        <w:right w:val="none" w:sz="0" w:space="0" w:color="auto"/>
      </w:divBdr>
      <w:divsChild>
        <w:div w:id="1272083732">
          <w:marLeft w:val="0"/>
          <w:marRight w:val="0"/>
          <w:marTop w:val="0"/>
          <w:marBottom w:val="0"/>
          <w:divBdr>
            <w:top w:val="none" w:sz="0" w:space="0" w:color="auto"/>
            <w:left w:val="none" w:sz="0" w:space="0" w:color="auto"/>
            <w:bottom w:val="none" w:sz="0" w:space="0" w:color="auto"/>
            <w:right w:val="none" w:sz="0" w:space="0" w:color="auto"/>
          </w:divBdr>
          <w:divsChild>
            <w:div w:id="1597981009">
              <w:marLeft w:val="0"/>
              <w:marRight w:val="0"/>
              <w:marTop w:val="0"/>
              <w:marBottom w:val="0"/>
              <w:divBdr>
                <w:top w:val="none" w:sz="0" w:space="0" w:color="auto"/>
                <w:left w:val="none" w:sz="0" w:space="0" w:color="auto"/>
                <w:bottom w:val="none" w:sz="0" w:space="0" w:color="auto"/>
                <w:right w:val="none" w:sz="0" w:space="0" w:color="auto"/>
              </w:divBdr>
              <w:divsChild>
                <w:div w:id="4486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7169">
      <w:bodyDiv w:val="1"/>
      <w:marLeft w:val="0"/>
      <w:marRight w:val="0"/>
      <w:marTop w:val="0"/>
      <w:marBottom w:val="0"/>
      <w:divBdr>
        <w:top w:val="none" w:sz="0" w:space="0" w:color="auto"/>
        <w:left w:val="none" w:sz="0" w:space="0" w:color="auto"/>
        <w:bottom w:val="none" w:sz="0" w:space="0" w:color="auto"/>
        <w:right w:val="none" w:sz="0" w:space="0" w:color="auto"/>
      </w:divBdr>
      <w:divsChild>
        <w:div w:id="1283537178">
          <w:marLeft w:val="0"/>
          <w:marRight w:val="0"/>
          <w:marTop w:val="0"/>
          <w:marBottom w:val="0"/>
          <w:divBdr>
            <w:top w:val="none" w:sz="0" w:space="0" w:color="auto"/>
            <w:left w:val="none" w:sz="0" w:space="0" w:color="auto"/>
            <w:bottom w:val="none" w:sz="0" w:space="0" w:color="auto"/>
            <w:right w:val="none" w:sz="0" w:space="0" w:color="auto"/>
          </w:divBdr>
          <w:divsChild>
            <w:div w:id="1888564013">
              <w:marLeft w:val="0"/>
              <w:marRight w:val="0"/>
              <w:marTop w:val="0"/>
              <w:marBottom w:val="0"/>
              <w:divBdr>
                <w:top w:val="none" w:sz="0" w:space="0" w:color="auto"/>
                <w:left w:val="none" w:sz="0" w:space="0" w:color="auto"/>
                <w:bottom w:val="none" w:sz="0" w:space="0" w:color="auto"/>
                <w:right w:val="none" w:sz="0" w:space="0" w:color="auto"/>
              </w:divBdr>
              <w:divsChild>
                <w:div w:id="19957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65603">
      <w:bodyDiv w:val="1"/>
      <w:marLeft w:val="0"/>
      <w:marRight w:val="0"/>
      <w:marTop w:val="0"/>
      <w:marBottom w:val="0"/>
      <w:divBdr>
        <w:top w:val="none" w:sz="0" w:space="0" w:color="auto"/>
        <w:left w:val="none" w:sz="0" w:space="0" w:color="auto"/>
        <w:bottom w:val="none" w:sz="0" w:space="0" w:color="auto"/>
        <w:right w:val="none" w:sz="0" w:space="0" w:color="auto"/>
      </w:divBdr>
      <w:divsChild>
        <w:div w:id="558250990">
          <w:marLeft w:val="0"/>
          <w:marRight w:val="0"/>
          <w:marTop w:val="0"/>
          <w:marBottom w:val="0"/>
          <w:divBdr>
            <w:top w:val="none" w:sz="0" w:space="0" w:color="auto"/>
            <w:left w:val="none" w:sz="0" w:space="0" w:color="auto"/>
            <w:bottom w:val="none" w:sz="0" w:space="0" w:color="auto"/>
            <w:right w:val="none" w:sz="0" w:space="0" w:color="auto"/>
          </w:divBdr>
          <w:divsChild>
            <w:div w:id="812716314">
              <w:marLeft w:val="0"/>
              <w:marRight w:val="0"/>
              <w:marTop w:val="0"/>
              <w:marBottom w:val="0"/>
              <w:divBdr>
                <w:top w:val="none" w:sz="0" w:space="0" w:color="auto"/>
                <w:left w:val="none" w:sz="0" w:space="0" w:color="auto"/>
                <w:bottom w:val="none" w:sz="0" w:space="0" w:color="auto"/>
                <w:right w:val="none" w:sz="0" w:space="0" w:color="auto"/>
              </w:divBdr>
              <w:divsChild>
                <w:div w:id="13530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4958">
      <w:bodyDiv w:val="1"/>
      <w:marLeft w:val="0"/>
      <w:marRight w:val="0"/>
      <w:marTop w:val="0"/>
      <w:marBottom w:val="0"/>
      <w:divBdr>
        <w:top w:val="none" w:sz="0" w:space="0" w:color="auto"/>
        <w:left w:val="none" w:sz="0" w:space="0" w:color="auto"/>
        <w:bottom w:val="none" w:sz="0" w:space="0" w:color="auto"/>
        <w:right w:val="none" w:sz="0" w:space="0" w:color="auto"/>
      </w:divBdr>
      <w:divsChild>
        <w:div w:id="227766117">
          <w:marLeft w:val="0"/>
          <w:marRight w:val="0"/>
          <w:marTop w:val="0"/>
          <w:marBottom w:val="0"/>
          <w:divBdr>
            <w:top w:val="none" w:sz="0" w:space="0" w:color="auto"/>
            <w:left w:val="none" w:sz="0" w:space="0" w:color="auto"/>
            <w:bottom w:val="none" w:sz="0" w:space="0" w:color="auto"/>
            <w:right w:val="none" w:sz="0" w:space="0" w:color="auto"/>
          </w:divBdr>
          <w:divsChild>
            <w:div w:id="391462163">
              <w:marLeft w:val="0"/>
              <w:marRight w:val="0"/>
              <w:marTop w:val="0"/>
              <w:marBottom w:val="0"/>
              <w:divBdr>
                <w:top w:val="none" w:sz="0" w:space="0" w:color="auto"/>
                <w:left w:val="none" w:sz="0" w:space="0" w:color="auto"/>
                <w:bottom w:val="none" w:sz="0" w:space="0" w:color="auto"/>
                <w:right w:val="none" w:sz="0" w:space="0" w:color="auto"/>
              </w:divBdr>
              <w:divsChild>
                <w:div w:id="19683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8249">
      <w:bodyDiv w:val="1"/>
      <w:marLeft w:val="0"/>
      <w:marRight w:val="0"/>
      <w:marTop w:val="0"/>
      <w:marBottom w:val="0"/>
      <w:divBdr>
        <w:top w:val="none" w:sz="0" w:space="0" w:color="auto"/>
        <w:left w:val="none" w:sz="0" w:space="0" w:color="auto"/>
        <w:bottom w:val="none" w:sz="0" w:space="0" w:color="auto"/>
        <w:right w:val="none" w:sz="0" w:space="0" w:color="auto"/>
      </w:divBdr>
      <w:divsChild>
        <w:div w:id="241529301">
          <w:marLeft w:val="0"/>
          <w:marRight w:val="0"/>
          <w:marTop w:val="0"/>
          <w:marBottom w:val="0"/>
          <w:divBdr>
            <w:top w:val="none" w:sz="0" w:space="0" w:color="auto"/>
            <w:left w:val="none" w:sz="0" w:space="0" w:color="auto"/>
            <w:bottom w:val="none" w:sz="0" w:space="0" w:color="auto"/>
            <w:right w:val="none" w:sz="0" w:space="0" w:color="auto"/>
          </w:divBdr>
          <w:divsChild>
            <w:div w:id="1138836028">
              <w:marLeft w:val="0"/>
              <w:marRight w:val="0"/>
              <w:marTop w:val="0"/>
              <w:marBottom w:val="0"/>
              <w:divBdr>
                <w:top w:val="none" w:sz="0" w:space="0" w:color="auto"/>
                <w:left w:val="none" w:sz="0" w:space="0" w:color="auto"/>
                <w:bottom w:val="none" w:sz="0" w:space="0" w:color="auto"/>
                <w:right w:val="none" w:sz="0" w:space="0" w:color="auto"/>
              </w:divBdr>
              <w:divsChild>
                <w:div w:id="1238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4552">
      <w:bodyDiv w:val="1"/>
      <w:marLeft w:val="0"/>
      <w:marRight w:val="0"/>
      <w:marTop w:val="0"/>
      <w:marBottom w:val="0"/>
      <w:divBdr>
        <w:top w:val="none" w:sz="0" w:space="0" w:color="auto"/>
        <w:left w:val="none" w:sz="0" w:space="0" w:color="auto"/>
        <w:bottom w:val="none" w:sz="0" w:space="0" w:color="auto"/>
        <w:right w:val="none" w:sz="0" w:space="0" w:color="auto"/>
      </w:divBdr>
      <w:divsChild>
        <w:div w:id="802965263">
          <w:marLeft w:val="0"/>
          <w:marRight w:val="0"/>
          <w:marTop w:val="0"/>
          <w:marBottom w:val="0"/>
          <w:divBdr>
            <w:top w:val="none" w:sz="0" w:space="0" w:color="auto"/>
            <w:left w:val="none" w:sz="0" w:space="0" w:color="auto"/>
            <w:bottom w:val="none" w:sz="0" w:space="0" w:color="auto"/>
            <w:right w:val="none" w:sz="0" w:space="0" w:color="auto"/>
          </w:divBdr>
          <w:divsChild>
            <w:div w:id="189415907">
              <w:marLeft w:val="0"/>
              <w:marRight w:val="0"/>
              <w:marTop w:val="0"/>
              <w:marBottom w:val="0"/>
              <w:divBdr>
                <w:top w:val="none" w:sz="0" w:space="0" w:color="auto"/>
                <w:left w:val="none" w:sz="0" w:space="0" w:color="auto"/>
                <w:bottom w:val="none" w:sz="0" w:space="0" w:color="auto"/>
                <w:right w:val="none" w:sz="0" w:space="0" w:color="auto"/>
              </w:divBdr>
              <w:divsChild>
                <w:div w:id="16463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4895">
      <w:bodyDiv w:val="1"/>
      <w:marLeft w:val="0"/>
      <w:marRight w:val="0"/>
      <w:marTop w:val="0"/>
      <w:marBottom w:val="0"/>
      <w:divBdr>
        <w:top w:val="none" w:sz="0" w:space="0" w:color="auto"/>
        <w:left w:val="none" w:sz="0" w:space="0" w:color="auto"/>
        <w:bottom w:val="none" w:sz="0" w:space="0" w:color="auto"/>
        <w:right w:val="none" w:sz="0" w:space="0" w:color="auto"/>
      </w:divBdr>
      <w:divsChild>
        <w:div w:id="718283616">
          <w:marLeft w:val="0"/>
          <w:marRight w:val="0"/>
          <w:marTop w:val="0"/>
          <w:marBottom w:val="0"/>
          <w:divBdr>
            <w:top w:val="none" w:sz="0" w:space="0" w:color="auto"/>
            <w:left w:val="none" w:sz="0" w:space="0" w:color="auto"/>
            <w:bottom w:val="none" w:sz="0" w:space="0" w:color="auto"/>
            <w:right w:val="none" w:sz="0" w:space="0" w:color="auto"/>
          </w:divBdr>
          <w:divsChild>
            <w:div w:id="252204092">
              <w:marLeft w:val="0"/>
              <w:marRight w:val="0"/>
              <w:marTop w:val="0"/>
              <w:marBottom w:val="0"/>
              <w:divBdr>
                <w:top w:val="none" w:sz="0" w:space="0" w:color="auto"/>
                <w:left w:val="none" w:sz="0" w:space="0" w:color="auto"/>
                <w:bottom w:val="none" w:sz="0" w:space="0" w:color="auto"/>
                <w:right w:val="none" w:sz="0" w:space="0" w:color="auto"/>
              </w:divBdr>
              <w:divsChild>
                <w:div w:id="1138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33540">
      <w:bodyDiv w:val="1"/>
      <w:marLeft w:val="0"/>
      <w:marRight w:val="0"/>
      <w:marTop w:val="0"/>
      <w:marBottom w:val="0"/>
      <w:divBdr>
        <w:top w:val="none" w:sz="0" w:space="0" w:color="auto"/>
        <w:left w:val="none" w:sz="0" w:space="0" w:color="auto"/>
        <w:bottom w:val="none" w:sz="0" w:space="0" w:color="auto"/>
        <w:right w:val="none" w:sz="0" w:space="0" w:color="auto"/>
      </w:divBdr>
      <w:divsChild>
        <w:div w:id="818965166">
          <w:marLeft w:val="0"/>
          <w:marRight w:val="0"/>
          <w:marTop w:val="0"/>
          <w:marBottom w:val="0"/>
          <w:divBdr>
            <w:top w:val="none" w:sz="0" w:space="0" w:color="auto"/>
            <w:left w:val="none" w:sz="0" w:space="0" w:color="auto"/>
            <w:bottom w:val="none" w:sz="0" w:space="0" w:color="auto"/>
            <w:right w:val="none" w:sz="0" w:space="0" w:color="auto"/>
          </w:divBdr>
          <w:divsChild>
            <w:div w:id="1992975702">
              <w:marLeft w:val="0"/>
              <w:marRight w:val="0"/>
              <w:marTop w:val="0"/>
              <w:marBottom w:val="0"/>
              <w:divBdr>
                <w:top w:val="none" w:sz="0" w:space="0" w:color="auto"/>
                <w:left w:val="none" w:sz="0" w:space="0" w:color="auto"/>
                <w:bottom w:val="none" w:sz="0" w:space="0" w:color="auto"/>
                <w:right w:val="none" w:sz="0" w:space="0" w:color="auto"/>
              </w:divBdr>
              <w:divsChild>
                <w:div w:id="15825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965611">
      <w:bodyDiv w:val="1"/>
      <w:marLeft w:val="0"/>
      <w:marRight w:val="0"/>
      <w:marTop w:val="0"/>
      <w:marBottom w:val="0"/>
      <w:divBdr>
        <w:top w:val="none" w:sz="0" w:space="0" w:color="auto"/>
        <w:left w:val="none" w:sz="0" w:space="0" w:color="auto"/>
        <w:bottom w:val="none" w:sz="0" w:space="0" w:color="auto"/>
        <w:right w:val="none" w:sz="0" w:space="0" w:color="auto"/>
      </w:divBdr>
      <w:divsChild>
        <w:div w:id="563837639">
          <w:marLeft w:val="0"/>
          <w:marRight w:val="0"/>
          <w:marTop w:val="0"/>
          <w:marBottom w:val="0"/>
          <w:divBdr>
            <w:top w:val="none" w:sz="0" w:space="0" w:color="auto"/>
            <w:left w:val="none" w:sz="0" w:space="0" w:color="auto"/>
            <w:bottom w:val="none" w:sz="0" w:space="0" w:color="auto"/>
            <w:right w:val="none" w:sz="0" w:space="0" w:color="auto"/>
          </w:divBdr>
          <w:divsChild>
            <w:div w:id="2105417995">
              <w:marLeft w:val="0"/>
              <w:marRight w:val="0"/>
              <w:marTop w:val="0"/>
              <w:marBottom w:val="0"/>
              <w:divBdr>
                <w:top w:val="none" w:sz="0" w:space="0" w:color="auto"/>
                <w:left w:val="none" w:sz="0" w:space="0" w:color="auto"/>
                <w:bottom w:val="none" w:sz="0" w:space="0" w:color="auto"/>
                <w:right w:val="none" w:sz="0" w:space="0" w:color="auto"/>
              </w:divBdr>
              <w:divsChild>
                <w:div w:id="3382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21318">
      <w:bodyDiv w:val="1"/>
      <w:marLeft w:val="0"/>
      <w:marRight w:val="0"/>
      <w:marTop w:val="0"/>
      <w:marBottom w:val="0"/>
      <w:divBdr>
        <w:top w:val="none" w:sz="0" w:space="0" w:color="auto"/>
        <w:left w:val="none" w:sz="0" w:space="0" w:color="auto"/>
        <w:bottom w:val="none" w:sz="0" w:space="0" w:color="auto"/>
        <w:right w:val="none" w:sz="0" w:space="0" w:color="auto"/>
      </w:divBdr>
      <w:divsChild>
        <w:div w:id="1204903218">
          <w:marLeft w:val="0"/>
          <w:marRight w:val="0"/>
          <w:marTop w:val="0"/>
          <w:marBottom w:val="0"/>
          <w:divBdr>
            <w:top w:val="none" w:sz="0" w:space="0" w:color="auto"/>
            <w:left w:val="none" w:sz="0" w:space="0" w:color="auto"/>
            <w:bottom w:val="none" w:sz="0" w:space="0" w:color="auto"/>
            <w:right w:val="none" w:sz="0" w:space="0" w:color="auto"/>
          </w:divBdr>
          <w:divsChild>
            <w:div w:id="499664933">
              <w:marLeft w:val="0"/>
              <w:marRight w:val="0"/>
              <w:marTop w:val="0"/>
              <w:marBottom w:val="0"/>
              <w:divBdr>
                <w:top w:val="none" w:sz="0" w:space="0" w:color="auto"/>
                <w:left w:val="none" w:sz="0" w:space="0" w:color="auto"/>
                <w:bottom w:val="none" w:sz="0" w:space="0" w:color="auto"/>
                <w:right w:val="none" w:sz="0" w:space="0" w:color="auto"/>
              </w:divBdr>
              <w:divsChild>
                <w:div w:id="21472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46004">
      <w:bodyDiv w:val="1"/>
      <w:marLeft w:val="0"/>
      <w:marRight w:val="0"/>
      <w:marTop w:val="0"/>
      <w:marBottom w:val="0"/>
      <w:divBdr>
        <w:top w:val="none" w:sz="0" w:space="0" w:color="auto"/>
        <w:left w:val="none" w:sz="0" w:space="0" w:color="auto"/>
        <w:bottom w:val="none" w:sz="0" w:space="0" w:color="auto"/>
        <w:right w:val="none" w:sz="0" w:space="0" w:color="auto"/>
      </w:divBdr>
      <w:divsChild>
        <w:div w:id="1560436555">
          <w:marLeft w:val="0"/>
          <w:marRight w:val="0"/>
          <w:marTop w:val="0"/>
          <w:marBottom w:val="0"/>
          <w:divBdr>
            <w:top w:val="none" w:sz="0" w:space="0" w:color="auto"/>
            <w:left w:val="none" w:sz="0" w:space="0" w:color="auto"/>
            <w:bottom w:val="none" w:sz="0" w:space="0" w:color="auto"/>
            <w:right w:val="none" w:sz="0" w:space="0" w:color="auto"/>
          </w:divBdr>
          <w:divsChild>
            <w:div w:id="928005917">
              <w:marLeft w:val="0"/>
              <w:marRight w:val="0"/>
              <w:marTop w:val="0"/>
              <w:marBottom w:val="0"/>
              <w:divBdr>
                <w:top w:val="none" w:sz="0" w:space="0" w:color="auto"/>
                <w:left w:val="none" w:sz="0" w:space="0" w:color="auto"/>
                <w:bottom w:val="none" w:sz="0" w:space="0" w:color="auto"/>
                <w:right w:val="none" w:sz="0" w:space="0" w:color="auto"/>
              </w:divBdr>
              <w:divsChild>
                <w:div w:id="13614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34544">
      <w:bodyDiv w:val="1"/>
      <w:marLeft w:val="0"/>
      <w:marRight w:val="0"/>
      <w:marTop w:val="0"/>
      <w:marBottom w:val="0"/>
      <w:divBdr>
        <w:top w:val="none" w:sz="0" w:space="0" w:color="auto"/>
        <w:left w:val="none" w:sz="0" w:space="0" w:color="auto"/>
        <w:bottom w:val="none" w:sz="0" w:space="0" w:color="auto"/>
        <w:right w:val="none" w:sz="0" w:space="0" w:color="auto"/>
      </w:divBdr>
      <w:divsChild>
        <w:div w:id="351224192">
          <w:marLeft w:val="0"/>
          <w:marRight w:val="0"/>
          <w:marTop w:val="0"/>
          <w:marBottom w:val="0"/>
          <w:divBdr>
            <w:top w:val="none" w:sz="0" w:space="0" w:color="auto"/>
            <w:left w:val="none" w:sz="0" w:space="0" w:color="auto"/>
            <w:bottom w:val="none" w:sz="0" w:space="0" w:color="auto"/>
            <w:right w:val="none" w:sz="0" w:space="0" w:color="auto"/>
          </w:divBdr>
          <w:divsChild>
            <w:div w:id="604383896">
              <w:marLeft w:val="0"/>
              <w:marRight w:val="0"/>
              <w:marTop w:val="0"/>
              <w:marBottom w:val="0"/>
              <w:divBdr>
                <w:top w:val="none" w:sz="0" w:space="0" w:color="auto"/>
                <w:left w:val="none" w:sz="0" w:space="0" w:color="auto"/>
                <w:bottom w:val="none" w:sz="0" w:space="0" w:color="auto"/>
                <w:right w:val="none" w:sz="0" w:space="0" w:color="auto"/>
              </w:divBdr>
              <w:divsChild>
                <w:div w:id="18579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23305">
      <w:bodyDiv w:val="1"/>
      <w:marLeft w:val="0"/>
      <w:marRight w:val="0"/>
      <w:marTop w:val="0"/>
      <w:marBottom w:val="0"/>
      <w:divBdr>
        <w:top w:val="none" w:sz="0" w:space="0" w:color="auto"/>
        <w:left w:val="none" w:sz="0" w:space="0" w:color="auto"/>
        <w:bottom w:val="none" w:sz="0" w:space="0" w:color="auto"/>
        <w:right w:val="none" w:sz="0" w:space="0" w:color="auto"/>
      </w:divBdr>
      <w:divsChild>
        <w:div w:id="1389039286">
          <w:marLeft w:val="0"/>
          <w:marRight w:val="0"/>
          <w:marTop w:val="0"/>
          <w:marBottom w:val="0"/>
          <w:divBdr>
            <w:top w:val="none" w:sz="0" w:space="0" w:color="auto"/>
            <w:left w:val="none" w:sz="0" w:space="0" w:color="auto"/>
            <w:bottom w:val="none" w:sz="0" w:space="0" w:color="auto"/>
            <w:right w:val="none" w:sz="0" w:space="0" w:color="auto"/>
          </w:divBdr>
          <w:divsChild>
            <w:div w:id="1645233766">
              <w:marLeft w:val="0"/>
              <w:marRight w:val="0"/>
              <w:marTop w:val="0"/>
              <w:marBottom w:val="0"/>
              <w:divBdr>
                <w:top w:val="none" w:sz="0" w:space="0" w:color="auto"/>
                <w:left w:val="none" w:sz="0" w:space="0" w:color="auto"/>
                <w:bottom w:val="none" w:sz="0" w:space="0" w:color="auto"/>
                <w:right w:val="none" w:sz="0" w:space="0" w:color="auto"/>
              </w:divBdr>
              <w:divsChild>
                <w:div w:id="13992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80997">
      <w:bodyDiv w:val="1"/>
      <w:marLeft w:val="0"/>
      <w:marRight w:val="0"/>
      <w:marTop w:val="0"/>
      <w:marBottom w:val="0"/>
      <w:divBdr>
        <w:top w:val="none" w:sz="0" w:space="0" w:color="auto"/>
        <w:left w:val="none" w:sz="0" w:space="0" w:color="auto"/>
        <w:bottom w:val="none" w:sz="0" w:space="0" w:color="auto"/>
        <w:right w:val="none" w:sz="0" w:space="0" w:color="auto"/>
      </w:divBdr>
      <w:divsChild>
        <w:div w:id="915090418">
          <w:marLeft w:val="0"/>
          <w:marRight w:val="0"/>
          <w:marTop w:val="0"/>
          <w:marBottom w:val="0"/>
          <w:divBdr>
            <w:top w:val="none" w:sz="0" w:space="0" w:color="auto"/>
            <w:left w:val="none" w:sz="0" w:space="0" w:color="auto"/>
            <w:bottom w:val="none" w:sz="0" w:space="0" w:color="auto"/>
            <w:right w:val="none" w:sz="0" w:space="0" w:color="auto"/>
          </w:divBdr>
          <w:divsChild>
            <w:div w:id="628442342">
              <w:marLeft w:val="0"/>
              <w:marRight w:val="0"/>
              <w:marTop w:val="0"/>
              <w:marBottom w:val="0"/>
              <w:divBdr>
                <w:top w:val="none" w:sz="0" w:space="0" w:color="auto"/>
                <w:left w:val="none" w:sz="0" w:space="0" w:color="auto"/>
                <w:bottom w:val="none" w:sz="0" w:space="0" w:color="auto"/>
                <w:right w:val="none" w:sz="0" w:space="0" w:color="auto"/>
              </w:divBdr>
              <w:divsChild>
                <w:div w:id="2624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Jinyang Liu</dc:creator>
  <cp:keywords/>
  <dc:description/>
  <cp:lastModifiedBy>Justin Jia</cp:lastModifiedBy>
  <cp:revision>5</cp:revision>
  <dcterms:created xsi:type="dcterms:W3CDTF">2021-03-23T02:07:00Z</dcterms:created>
  <dcterms:modified xsi:type="dcterms:W3CDTF">2021-03-23T02:30:00Z</dcterms:modified>
</cp:coreProperties>
</file>