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w:hAnsi="Times"/>
          <w:sz w:val="36"/>
          <w:szCs w:val="36"/>
        </w:rPr>
      </w:pPr>
      <w:r>
        <w:rPr>
          <w:rFonts w:ascii="Times" w:hAnsi="Times"/>
          <w:sz w:val="36"/>
          <w:szCs w:val="36"/>
        </w:rPr>
        <w:t>How Do Analyst Characteristics Affect Analyst’s Disagreement?</w:t>
      </w:r>
    </w:p>
    <w:p>
      <w:pPr>
        <w:jc w:val="center"/>
        <w:rPr>
          <w:rFonts w:ascii="Times" w:hAnsi="Times"/>
          <w:sz w:val="36"/>
          <w:szCs w:val="36"/>
        </w:rPr>
      </w:pPr>
    </w:p>
    <w:p>
      <w:pPr>
        <w:spacing w:line="480" w:lineRule="auto"/>
        <w:jc w:val="center"/>
        <w:rPr>
          <w:sz w:val="24"/>
          <w:szCs w:val="24"/>
        </w:rPr>
      </w:pPr>
      <w:r>
        <w:rPr>
          <w:rFonts w:hint="eastAsia"/>
          <w:sz w:val="24"/>
          <w:szCs w:val="24"/>
        </w:rPr>
        <w:t>Justin</w:t>
      </w:r>
      <w:r>
        <w:rPr>
          <w:sz w:val="24"/>
          <w:szCs w:val="24"/>
        </w:rPr>
        <w:t xml:space="preserve"> Jia and Jinyang Liu</w:t>
      </w:r>
    </w:p>
    <w:p>
      <w:pPr>
        <w:jc w:val="center"/>
        <w:rPr>
          <w:rFonts w:ascii="Times" w:hAnsi="Times"/>
        </w:rPr>
      </w:pPr>
    </w:p>
    <w:p>
      <w:pPr>
        <w:jc w:val="center"/>
        <w:rPr>
          <w:rFonts w:ascii="Times" w:hAnsi="Times"/>
          <w:b/>
          <w:bCs/>
          <w:sz w:val="24"/>
          <w:szCs w:val="24"/>
        </w:rPr>
      </w:pPr>
      <w:r>
        <w:rPr>
          <w:rFonts w:ascii="Times" w:hAnsi="Times"/>
          <w:b/>
          <w:bCs/>
          <w:sz w:val="24"/>
          <w:szCs w:val="24"/>
        </w:rPr>
        <w:t>Abstract</w:t>
      </w:r>
    </w:p>
    <w:p>
      <w:pPr>
        <w:jc w:val="center"/>
        <w:rPr>
          <w:rFonts w:ascii="Times" w:hAnsi="Times"/>
        </w:rPr>
      </w:pPr>
    </w:p>
    <w:p>
      <w:pPr>
        <w:rPr>
          <w:rFonts w:ascii="Times" w:hAnsi="Times"/>
        </w:rPr>
      </w:pPr>
    </w:p>
    <w:p>
      <w:pPr>
        <w:spacing w:line="480" w:lineRule="auto"/>
        <w:rPr>
          <w:sz w:val="24"/>
          <w:szCs w:val="24"/>
        </w:rPr>
      </w:pPr>
      <w:r>
        <w:rPr>
          <w:sz w:val="24"/>
          <w:szCs w:val="24"/>
        </w:rPr>
        <w:t xml:space="preserve">We investigate determinants of analyst’s disagreement </w:t>
      </w:r>
      <w:r>
        <w:rPr>
          <w:rFonts w:hint="eastAsia"/>
          <w:sz w:val="24"/>
          <w:szCs w:val="24"/>
        </w:rPr>
        <w:t>in</w:t>
      </w:r>
      <w:r>
        <w:rPr>
          <w:sz w:val="24"/>
          <w:szCs w:val="24"/>
        </w:rPr>
        <w:t xml:space="preserve"> earnings</w:t>
      </w:r>
      <w:r>
        <w:rPr>
          <w:rFonts w:hint="eastAsia"/>
          <w:sz w:val="24"/>
          <w:szCs w:val="24"/>
        </w:rPr>
        <w:t xml:space="preserve"> </w:t>
      </w:r>
      <w:r>
        <w:rPr>
          <w:sz w:val="24"/>
          <w:szCs w:val="24"/>
        </w:rPr>
        <w:t>forecasts and stock recommendation</w:t>
      </w:r>
      <w:r>
        <w:rPr>
          <w:rFonts w:hint="eastAsia"/>
          <w:sz w:val="24"/>
          <w:szCs w:val="24"/>
        </w:rPr>
        <w:t>s.</w:t>
      </w:r>
      <w:r>
        <w:rPr>
          <w:sz w:val="24"/>
          <w:szCs w:val="24"/>
        </w:rPr>
        <w:t xml:space="preserve"> Our empirical results show that analyst’s characteristics help explain analyst’s disagreement after considering target firm’s characteristics, and analysts in brokerage with similar size or with equivalent experience are less likely to disagree with each other. Our finding corroborates analyst’s information acquisition and integration role on capital markets</w:t>
      </w:r>
      <w:r>
        <w:rPr>
          <w:rFonts w:hint="eastAsia"/>
          <w:sz w:val="24"/>
          <w:szCs w:val="24"/>
        </w:rPr>
        <w:t>.</w:t>
      </w:r>
      <w:r>
        <w:rPr>
          <w:sz w:val="24"/>
          <w:szCs w:val="24"/>
        </w:rPr>
        <w:t xml:space="preserve"> </w:t>
      </w:r>
    </w:p>
    <w:p>
      <w:pPr>
        <w:rPr>
          <w:b/>
          <w:bCs/>
          <w:sz w:val="24"/>
          <w:szCs w:val="24"/>
        </w:rPr>
      </w:pPr>
    </w:p>
    <w:p>
      <w:pPr>
        <w:rPr>
          <w:b/>
          <w:bCs/>
          <w:sz w:val="24"/>
          <w:szCs w:val="24"/>
        </w:rPr>
      </w:pPr>
    </w:p>
    <w:p>
      <w:pPr>
        <w:rPr>
          <w:b/>
          <w:bCs/>
          <w:sz w:val="24"/>
          <w:szCs w:val="24"/>
        </w:rPr>
      </w:pPr>
    </w:p>
    <w:p>
      <w:pPr>
        <w:widowControl/>
        <w:jc w:val="left"/>
        <w:rPr>
          <w:b/>
          <w:bCs/>
          <w:sz w:val="24"/>
          <w:szCs w:val="24"/>
        </w:rPr>
      </w:pPr>
      <w:r>
        <w:rPr>
          <w:b/>
          <w:bCs/>
          <w:sz w:val="24"/>
          <w:szCs w:val="24"/>
        </w:rPr>
        <w:br w:type="page"/>
      </w:r>
    </w:p>
    <w:p>
      <w:pPr>
        <w:numPr>
          <w:ilvl w:val="0"/>
          <w:numId w:val="1"/>
        </w:numPr>
        <w:rPr>
          <w:b/>
          <w:bCs/>
          <w:sz w:val="24"/>
          <w:szCs w:val="24"/>
        </w:rPr>
      </w:pPr>
      <w:r>
        <w:rPr>
          <w:b/>
          <w:bCs/>
          <w:sz w:val="24"/>
          <w:szCs w:val="24"/>
        </w:rPr>
        <w:t xml:space="preserve">Introduction and Related </w:t>
      </w:r>
      <w:r>
        <w:rPr>
          <w:rFonts w:hint="eastAsia"/>
          <w:b/>
          <w:bCs/>
          <w:sz w:val="24"/>
          <w:szCs w:val="24"/>
        </w:rPr>
        <w:t>L</w:t>
      </w:r>
      <w:r>
        <w:rPr>
          <w:b/>
          <w:bCs/>
          <w:sz w:val="24"/>
          <w:szCs w:val="24"/>
        </w:rPr>
        <w:t>iterature</w:t>
      </w:r>
    </w:p>
    <w:p>
      <w:pPr>
        <w:numPr>
          <w:numId w:val="0"/>
        </w:numPr>
        <w:rPr>
          <w:b/>
          <w:bCs/>
          <w:sz w:val="24"/>
          <w:szCs w:val="24"/>
        </w:rPr>
      </w:pPr>
    </w:p>
    <w:p>
      <w:pPr>
        <w:spacing w:line="480" w:lineRule="auto"/>
        <w:rPr>
          <w:sz w:val="24"/>
          <w:szCs w:val="24"/>
        </w:rPr>
      </w:pPr>
      <w:r>
        <w:rPr>
          <w:sz w:val="24"/>
          <w:szCs w:val="24"/>
        </w:rPr>
        <w:t xml:space="preserve">Analysts play important roles in acquiring and integrating information on capital markets. They issue stock recommendations </w:t>
      </w:r>
      <w:r>
        <w:rPr>
          <w:rFonts w:hint="eastAsia"/>
          <w:sz w:val="24"/>
          <w:szCs w:val="24"/>
        </w:rPr>
        <w:t>and</w:t>
      </w:r>
      <w:r>
        <w:rPr>
          <w:sz w:val="24"/>
          <w:szCs w:val="24"/>
        </w:rPr>
        <w:t xml:space="preserve"> earning forecasts based on their private and public information, and consequently their opinions influence stock prices and contribute to efficient capital markets (Bradshaw et al., 2017). However, it is common that different analysts hold different opinions over one target firm, and this disagreement across analysts may create excess volatility to capital markets (Lundholm and Rogo, 2016) and lead to price inefficiency (Rees and Thomas, 2010; Lee, 2016). One important question is why analysts disagree with each other, and our study tries to answer this question from the perspective of analyst’s information acquisition role and integration role. We use different opinions, disagreement, divergence, and dispersion interchangeably in this paper.</w:t>
      </w:r>
    </w:p>
    <w:p>
      <w:pPr>
        <w:widowControl/>
        <w:spacing w:after="0" w:line="480" w:lineRule="auto"/>
        <w:ind w:firstLine="480" w:firstLineChars="200"/>
        <w:rPr>
          <w:rFonts w:eastAsia="等线" w:cs="Times New Roman"/>
          <w:sz w:val="24"/>
          <w:szCs w:val="24"/>
        </w:rPr>
      </w:pPr>
      <w:r>
        <w:rPr>
          <w:sz w:val="24"/>
          <w:szCs w:val="24"/>
        </w:rPr>
        <w:t xml:space="preserve">To answer the question why analysts disagree with each other, we review previous literature. We find that </w:t>
      </w:r>
      <w:r>
        <w:rPr>
          <w:rFonts w:eastAsia="等线" w:cs="Times New Roman"/>
          <w:sz w:val="24"/>
          <w:szCs w:val="24"/>
        </w:rPr>
        <w:t xml:space="preserve">most scholars previously attributed analysts’ disagreement to firm’s characteristics such as fundamentals (Johnson, 2004) and information environments (Lang and Lundholm, 1996; Ali et al., 2019). These studies argue that prospects of target </w:t>
      </w:r>
      <w:r>
        <w:rPr>
          <w:rFonts w:hint="eastAsia" w:eastAsia="等线" w:cs="Times New Roman"/>
          <w:sz w:val="24"/>
          <w:szCs w:val="24"/>
        </w:rPr>
        <w:t>fi</w:t>
      </w:r>
      <w:r>
        <w:rPr>
          <w:rFonts w:eastAsia="等线" w:cs="Times New Roman"/>
          <w:sz w:val="24"/>
          <w:szCs w:val="24"/>
        </w:rPr>
        <w:t>rms with high idiosyncratic risk and high information asymmetry are difficult to predict, and consequently analysts have different opinions on these target firms. However, these studies treat analysts’ decision-making processes as “black-box” and overweight the influence of firm’s characteristics in analysts’ opinions. Diether et al. (2002) find that analysts’ different opinions are unexplained by firm’s characteristics, but they do not point out the specific source of dispersion.</w:t>
      </w:r>
    </w:p>
    <w:p>
      <w:pPr>
        <w:widowControl/>
        <w:spacing w:after="0" w:line="480" w:lineRule="auto"/>
        <w:ind w:firstLine="480" w:firstLineChars="200"/>
        <w:rPr>
          <w:rFonts w:eastAsia="等线" w:cs="Times New Roman"/>
          <w:sz w:val="24"/>
          <w:szCs w:val="24"/>
        </w:rPr>
      </w:pPr>
      <w:r>
        <w:rPr>
          <w:rFonts w:eastAsia="等线" w:cs="Times New Roman"/>
          <w:sz w:val="24"/>
          <w:szCs w:val="24"/>
        </w:rPr>
        <w:t xml:space="preserve">Based on the evidence that analysts’ decision-making processes involve interaction between firms and analysts themselves, we argue that these previous studies fail to consider analyst’s characteristics. Li and Natarajan’s research (2012) is the closest to our study in the sense that they examine the effect analysts’ strategic behavior on analysts’ disagreement. They construct firm-level proxies for analysts’ herding and self-selection behavior and argue that these behaviors add downward bias to analysts’ disagreement. Compared with Li and Natarajan’s research (2012), our study uses analyst-level data and focuses on analyst’s information acquisition role and integration role. We measure the dispersion between analysts by their differences in earnings forecasts and stock recommendations. Then, we employ our measures to test for associations between the disagreement and analysts’ characteristics.  </w:t>
      </w:r>
    </w:p>
    <w:p>
      <w:pPr>
        <w:widowControl/>
        <w:spacing w:after="0" w:line="480" w:lineRule="auto"/>
        <w:ind w:firstLine="480" w:firstLineChars="200"/>
        <w:rPr>
          <w:rFonts w:eastAsia="等线" w:cs="Times New Roman"/>
          <w:sz w:val="24"/>
          <w:szCs w:val="24"/>
        </w:rPr>
      </w:pPr>
      <w:r>
        <w:rPr>
          <w:rFonts w:eastAsia="等线" w:cs="Times New Roman"/>
          <w:sz w:val="24"/>
          <w:szCs w:val="24"/>
        </w:rPr>
        <w:t>Our hypotheses are based on Brown et al. (2015) and Blankespoor et al. (2020)’s frameworks. According to their frameworks, we argue that analysts perform information acquisition and integration roles when make decisions. For one given firm, it is likely that analysts with same level of cost acquire and integrate this firm’s information in similar way, and thus they share similar opinions. We assume that analysts from brokerage with similar size face close level of information acquisition cost because their information sources are similar. For example, analysts from large brokerage may get access to firm’s private information and they thus make decisions based on the private information, whereas it is costly for analyst from small brokerage to obtain firm’s private information and they only use public information to form their belief. We also assume that equally experienced analysts bear close level of information integration cost because they are both well acquainted with industry knowledge. For example, it is comparatively easy for experienced analysts to assess and interpret firm’s hard and soft information, and they use firm’ information in ways different from young analysts. As a result, we hypothesize that analysts with similar acquisition and integration cost share similar opinions.</w:t>
      </w:r>
    </w:p>
    <w:p>
      <w:pPr>
        <w:widowControl/>
        <w:spacing w:after="0" w:line="480" w:lineRule="auto"/>
        <w:ind w:firstLine="480" w:firstLineChars="200"/>
        <w:rPr>
          <w:rFonts w:eastAsia="等线" w:cs="Times New Roman"/>
          <w:sz w:val="24"/>
          <w:szCs w:val="24"/>
        </w:rPr>
      </w:pPr>
      <w:r>
        <w:rPr>
          <w:rFonts w:eastAsia="等线" w:cs="Times New Roman"/>
          <w:sz w:val="24"/>
          <w:szCs w:val="24"/>
        </w:rPr>
        <w:t>As a first step toward understanding the causes of forecasts dispersion, we run regressions contain pure analyst’s char</w:t>
      </w:r>
      <w:r>
        <w:rPr>
          <w:rFonts w:hint="eastAsia" w:eastAsia="等线" w:cs="Times New Roman"/>
          <w:sz w:val="24"/>
          <w:szCs w:val="24"/>
        </w:rPr>
        <w:t>acteristic</w:t>
      </w:r>
      <w:r>
        <w:rPr>
          <w:rFonts w:eastAsia="等线" w:cs="Times New Roman"/>
          <w:sz w:val="24"/>
          <w:szCs w:val="24"/>
        </w:rPr>
        <w:t>. We find that pure analyst’s char</w:t>
      </w:r>
      <w:r>
        <w:rPr>
          <w:rFonts w:hint="eastAsia" w:eastAsia="等线" w:cs="Times New Roman"/>
          <w:sz w:val="24"/>
          <w:szCs w:val="24"/>
        </w:rPr>
        <w:t>acteristic</w:t>
      </w:r>
      <w:r>
        <w:rPr>
          <w:rFonts w:eastAsia="等线" w:cs="Times New Roman"/>
          <w:sz w:val="24"/>
          <w:szCs w:val="24"/>
        </w:rPr>
        <w:t>s have significant and positive effect on forecasts dispersion. This means that analysts with different working experience, analysis experience and come from different size of broker firms will have different EPS forecast. In the second step, we run regressions contain pure target firm’s char</w:t>
      </w:r>
      <w:r>
        <w:rPr>
          <w:rFonts w:hint="eastAsia" w:eastAsia="等线" w:cs="Times New Roman"/>
          <w:sz w:val="24"/>
          <w:szCs w:val="24"/>
        </w:rPr>
        <w:t>acteristic</w:t>
      </w:r>
      <w:r>
        <w:rPr>
          <w:rFonts w:eastAsia="等线" w:cs="Times New Roman"/>
          <w:sz w:val="24"/>
          <w:szCs w:val="24"/>
        </w:rPr>
        <w:t xml:space="preserve"> and combined it with analyst’s char</w:t>
      </w:r>
      <w:r>
        <w:rPr>
          <w:rFonts w:hint="eastAsia" w:eastAsia="等线" w:cs="Times New Roman"/>
          <w:sz w:val="24"/>
          <w:szCs w:val="24"/>
        </w:rPr>
        <w:t>acteristic</w:t>
      </w:r>
      <w:r>
        <w:rPr>
          <w:rFonts w:eastAsia="等线" w:cs="Times New Roman"/>
          <w:sz w:val="24"/>
          <w:szCs w:val="24"/>
        </w:rPr>
        <w:t>. We find that adding analyst’s char</w:t>
      </w:r>
      <w:r>
        <w:rPr>
          <w:rFonts w:hint="eastAsia" w:eastAsia="等线" w:cs="Times New Roman"/>
          <w:sz w:val="24"/>
          <w:szCs w:val="24"/>
        </w:rPr>
        <w:t>acteristic</w:t>
      </w:r>
      <w:r>
        <w:rPr>
          <w:rFonts w:eastAsia="等线" w:cs="Times New Roman"/>
          <w:sz w:val="24"/>
          <w:szCs w:val="24"/>
        </w:rPr>
        <w:t xml:space="preserve"> will increase the explain ability of our model. In the last step, we add the interaction term between firm’s and analyst’s char</w:t>
      </w:r>
      <w:r>
        <w:rPr>
          <w:rFonts w:hint="eastAsia" w:eastAsia="等线" w:cs="Times New Roman"/>
          <w:sz w:val="24"/>
          <w:szCs w:val="24"/>
        </w:rPr>
        <w:t>acteristic</w:t>
      </w:r>
      <w:r>
        <w:rPr>
          <w:rFonts w:eastAsia="等线" w:cs="Times New Roman"/>
          <w:sz w:val="24"/>
          <w:szCs w:val="24"/>
        </w:rPr>
        <w:t>. Their coefficients have the same sign with the pure char</w:t>
      </w:r>
      <w:r>
        <w:rPr>
          <w:rFonts w:hint="eastAsia" w:eastAsia="等线" w:cs="Times New Roman"/>
          <w:sz w:val="24"/>
          <w:szCs w:val="24"/>
        </w:rPr>
        <w:t>acteristic</w:t>
      </w:r>
      <w:r>
        <w:rPr>
          <w:rFonts w:eastAsia="等线" w:cs="Times New Roman"/>
          <w:sz w:val="24"/>
          <w:szCs w:val="24"/>
        </w:rPr>
        <w:t>. This result contributes to the fact that these in</w:t>
      </w:r>
      <w:r>
        <w:rPr>
          <w:rFonts w:hint="eastAsia" w:eastAsia="等线" w:cs="Times New Roman"/>
          <w:sz w:val="24"/>
          <w:szCs w:val="24"/>
        </w:rPr>
        <w:t xml:space="preserve">tersection </w:t>
      </w:r>
      <w:r>
        <w:rPr>
          <w:rFonts w:eastAsia="等线" w:cs="Times New Roman"/>
          <w:sz w:val="24"/>
          <w:szCs w:val="24"/>
        </w:rPr>
        <w:t xml:space="preserve">terms amplify the effect of analyst difference. We conclude that the </w:t>
      </w:r>
      <w:r>
        <w:rPr>
          <w:sz w:val="24"/>
          <w:szCs w:val="24"/>
        </w:rPr>
        <w:t>analyst’s information acquisition role and integration ability contribute to different EPS forecast.</w:t>
      </w:r>
      <w:r>
        <w:rPr>
          <w:rFonts w:eastAsia="等线" w:cs="Times New Roman"/>
          <w:sz w:val="24"/>
          <w:szCs w:val="24"/>
        </w:rPr>
        <w:t xml:space="preserve"> Our empirical results are consistent with our h</w:t>
      </w:r>
      <w:r>
        <w:rPr>
          <w:rFonts w:hint="eastAsia" w:eastAsia="等线" w:cs="Times New Roman"/>
          <w:sz w:val="24"/>
          <w:szCs w:val="24"/>
        </w:rPr>
        <w:t xml:space="preserve">ypothesis </w:t>
      </w:r>
      <w:r>
        <w:rPr>
          <w:rFonts w:eastAsia="等线" w:cs="Times New Roman"/>
          <w:sz w:val="24"/>
          <w:szCs w:val="24"/>
        </w:rPr>
        <w:t>and fill the gap with previous research that only consider firm’s cha</w:t>
      </w:r>
      <w:r>
        <w:rPr>
          <w:rFonts w:hint="eastAsia" w:eastAsia="等线" w:cs="Times New Roman"/>
          <w:sz w:val="24"/>
          <w:szCs w:val="24"/>
        </w:rPr>
        <w:t xml:space="preserve">racteristic </w:t>
      </w:r>
      <w:r>
        <w:rPr>
          <w:rFonts w:eastAsia="等线" w:cs="Times New Roman"/>
          <w:sz w:val="24"/>
          <w:szCs w:val="24"/>
        </w:rPr>
        <w:t>difference or pure analyst’s char</w:t>
      </w:r>
      <w:r>
        <w:rPr>
          <w:rFonts w:hint="eastAsia" w:eastAsia="等线" w:cs="Times New Roman"/>
          <w:sz w:val="24"/>
          <w:szCs w:val="24"/>
        </w:rPr>
        <w:t>acteristic</w:t>
      </w:r>
      <w:r>
        <w:rPr>
          <w:rFonts w:eastAsia="等线" w:cs="Times New Roman"/>
          <w:sz w:val="24"/>
          <w:szCs w:val="24"/>
        </w:rPr>
        <w:t xml:space="preserve">. </w:t>
      </w:r>
    </w:p>
    <w:p>
      <w:pPr>
        <w:widowControl/>
        <w:spacing w:after="0" w:line="480" w:lineRule="auto"/>
        <w:ind w:firstLine="480" w:firstLineChars="200"/>
        <w:rPr>
          <w:rFonts w:eastAsia="等线" w:cs="Times New Roman"/>
          <w:sz w:val="24"/>
          <w:szCs w:val="24"/>
        </w:rPr>
      </w:pPr>
      <w:r>
        <w:rPr>
          <w:rFonts w:eastAsia="等线" w:cs="Times New Roman"/>
          <w:sz w:val="24"/>
          <w:szCs w:val="24"/>
        </w:rPr>
        <w:t>Besides EPS forecast, we also explore the difference on</w:t>
      </w:r>
      <w:bookmarkStart w:id="0" w:name="OLE_LINK22"/>
      <w:bookmarkStart w:id="1" w:name="OLE_LINK21"/>
      <w:r>
        <w:rPr>
          <w:rFonts w:eastAsia="等线" w:cs="Times New Roman"/>
          <w:sz w:val="24"/>
          <w:szCs w:val="24"/>
        </w:rPr>
        <w:t xml:space="preserve"> recommendation</w:t>
      </w:r>
      <w:bookmarkEnd w:id="0"/>
      <w:bookmarkEnd w:id="1"/>
      <w:r>
        <w:rPr>
          <w:rFonts w:eastAsia="等线" w:cs="Times New Roman"/>
          <w:sz w:val="24"/>
          <w:szCs w:val="24"/>
        </w:rPr>
        <w:t xml:space="preserve"> code with the similar econometric method, but the effect is not consistent. In some case, the co</w:t>
      </w:r>
      <w:r>
        <w:rPr>
          <w:rFonts w:hint="eastAsia" w:eastAsia="等线" w:cs="Times New Roman"/>
          <w:sz w:val="24"/>
          <w:szCs w:val="24"/>
        </w:rPr>
        <w:t>efficient</w:t>
      </w:r>
      <w:r>
        <w:rPr>
          <w:rFonts w:eastAsia="等线" w:cs="Times New Roman"/>
          <w:sz w:val="24"/>
          <w:szCs w:val="24"/>
        </w:rPr>
        <w:t>s are not significant. Thus, we put all the results in the appendix.</w:t>
      </w:r>
    </w:p>
    <w:p>
      <w:pPr>
        <w:widowControl/>
        <w:spacing w:after="0" w:line="480" w:lineRule="auto"/>
        <w:ind w:firstLine="480" w:firstLineChars="200"/>
        <w:rPr>
          <w:rFonts w:eastAsia="等线" w:cs="Times New Roman"/>
          <w:sz w:val="24"/>
          <w:szCs w:val="24"/>
        </w:rPr>
      </w:pPr>
      <w:r>
        <w:rPr>
          <w:rFonts w:eastAsia="等线" w:cs="Times New Roman"/>
          <w:sz w:val="24"/>
          <w:szCs w:val="24"/>
        </w:rPr>
        <w:t>Section 2 provides our framework and develop hypotheses for empirical tests. Section 3 discusses data and research design. We discuss the empirical results in section 4, and we provide summary and conclusion in section 5.</w:t>
      </w:r>
    </w:p>
    <w:p>
      <w:pPr>
        <w:rPr>
          <w:sz w:val="24"/>
          <w:szCs w:val="24"/>
        </w:rPr>
      </w:pPr>
    </w:p>
    <w:p>
      <w:pPr>
        <w:rPr>
          <w:sz w:val="24"/>
          <w:szCs w:val="24"/>
        </w:rPr>
      </w:pPr>
    </w:p>
    <w:p>
      <w:pPr>
        <w:rPr>
          <w:sz w:val="24"/>
          <w:szCs w:val="24"/>
        </w:rPr>
      </w:pPr>
    </w:p>
    <w:p>
      <w:pPr>
        <w:rPr>
          <w:sz w:val="24"/>
          <w:szCs w:val="24"/>
        </w:rPr>
      </w:pPr>
    </w:p>
    <w:p>
      <w:pPr>
        <w:numPr>
          <w:ilvl w:val="0"/>
          <w:numId w:val="1"/>
        </w:numPr>
        <w:ind w:left="0" w:leftChars="0" w:firstLine="0" w:firstLineChars="0"/>
        <w:rPr>
          <w:b/>
          <w:bCs/>
          <w:sz w:val="24"/>
          <w:szCs w:val="24"/>
        </w:rPr>
      </w:pPr>
      <w:r>
        <w:rPr>
          <w:b/>
          <w:bCs/>
          <w:sz w:val="24"/>
          <w:szCs w:val="24"/>
        </w:rPr>
        <w:t>Hypotheses Development</w:t>
      </w:r>
    </w:p>
    <w:p>
      <w:pPr>
        <w:numPr>
          <w:numId w:val="0"/>
        </w:numPr>
        <w:ind w:leftChars="0"/>
        <w:rPr>
          <w:b/>
          <w:bCs/>
          <w:sz w:val="24"/>
          <w:szCs w:val="24"/>
        </w:rPr>
      </w:pPr>
    </w:p>
    <w:p>
      <w:pPr>
        <w:widowControl/>
        <w:spacing w:after="0" w:line="480" w:lineRule="auto"/>
        <w:ind w:firstLine="480" w:firstLineChars="200"/>
        <w:rPr>
          <w:rFonts w:eastAsia="等线" w:cs="Times New Roman"/>
          <w:sz w:val="24"/>
          <w:szCs w:val="24"/>
        </w:rPr>
      </w:pPr>
      <w:r>
        <w:rPr>
          <w:rFonts w:eastAsia="等线" w:cs="Times New Roman"/>
          <w:sz w:val="24"/>
          <w:szCs w:val="24"/>
        </w:rPr>
        <w:t xml:space="preserve">Analysts are important information intermediary in capital markets, and they play central roles to the flow of information from firms to investors. However, analysts have been widely criticized for providing biased forecast (McNichols and O’Brien, 1997) and thus their decision-making processes is of significant interest to researchers in finance and accounting area and practitioners. Understanding why analysts disagree with each other and how analysts’ characteristics affect analysts’ disagreement is important because it can shed light on the “black box” of analysts’ decision-making processes (Brown et al., 2015). </w:t>
      </w:r>
    </w:p>
    <w:p>
      <w:pPr>
        <w:widowControl/>
        <w:spacing w:after="0" w:line="480" w:lineRule="auto"/>
        <w:ind w:firstLine="480" w:firstLineChars="200"/>
        <w:rPr>
          <w:rFonts w:eastAsia="等线" w:cs="Times New Roman"/>
          <w:sz w:val="24"/>
          <w:szCs w:val="24"/>
        </w:rPr>
      </w:pPr>
      <w:r>
        <w:rPr>
          <w:rFonts w:eastAsia="等线" w:cs="Times New Roman"/>
          <w:sz w:val="24"/>
          <w:szCs w:val="24"/>
        </w:rPr>
        <w:t xml:space="preserve">We try to penetrate the “black box” of analysts’ decision-making processes and separate these processes into three parts: inputs, processing, and outputs. The inputs of the “black box” comprise both private and public information, and analysts play information acquisition role in accessing information sources and extracting information available for decision. Next, analysts play information integration role in the core process of decision-making. They select the specific pieces of information and certain types of valuation model to use. As a result, analysts who obtain different information acquisition and integration skill produce different opinions as outputs. The outputs of analysts’ decision-making are their reports where stock recommendations and earnings forecasts are most value-relevant to information users. </w:t>
      </w:r>
    </w:p>
    <w:p>
      <w:pPr>
        <w:rPr>
          <w:sz w:val="24"/>
          <w:szCs w:val="24"/>
        </w:rPr>
      </w:pPr>
      <w:r>
        <w:drawing>
          <wp:inline distT="0" distB="0" distL="0" distR="0">
            <wp:extent cx="4792980" cy="2025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818999" cy="2037022"/>
                    </a:xfrm>
                    <a:prstGeom prst="rect">
                      <a:avLst/>
                    </a:prstGeom>
                    <a:noFill/>
                    <a:ln>
                      <a:noFill/>
                    </a:ln>
                  </pic:spPr>
                </pic:pic>
              </a:graphicData>
            </a:graphic>
          </wp:inline>
        </w:drawing>
      </w:r>
    </w:p>
    <w:p>
      <w:pPr>
        <w:rPr>
          <w:sz w:val="24"/>
          <w:szCs w:val="24"/>
        </w:rPr>
      </w:pPr>
    </w:p>
    <w:p>
      <w:pPr>
        <w:widowControl/>
        <w:spacing w:after="0" w:line="480" w:lineRule="auto"/>
        <w:ind w:firstLine="480" w:firstLineChars="200"/>
        <w:rPr>
          <w:rFonts w:eastAsia="等线" w:cs="Times New Roman"/>
          <w:sz w:val="24"/>
          <w:szCs w:val="24"/>
        </w:rPr>
      </w:pPr>
      <w:r>
        <w:rPr>
          <w:rFonts w:eastAsia="等线" w:cs="Times New Roman"/>
          <w:sz w:val="24"/>
          <w:szCs w:val="24"/>
        </w:rPr>
        <w:t xml:space="preserve">We investigate analysts’ decision-making processes starting from analysts’ information sources and first focus on private information. We assume that analysts’ information acquisition skill plays significant part in gathering and acquiring private information. </w:t>
      </w:r>
      <w:r>
        <w:rPr>
          <w:rFonts w:hint="eastAsia" w:eastAsia="等线" w:cs="Times New Roman"/>
          <w:sz w:val="24"/>
          <w:szCs w:val="24"/>
        </w:rPr>
        <w:t>This</w:t>
      </w:r>
      <w:r>
        <w:rPr>
          <w:rFonts w:eastAsia="等线" w:cs="Times New Roman"/>
          <w:sz w:val="24"/>
          <w:szCs w:val="24"/>
        </w:rPr>
        <w:t xml:space="preserve"> assumption is supported by evidence that analysts may get access to firm’s private information by directly communicating with management teams. For example, it is common that analysts attend communication events such as earnings conference calls and investors days, some analysts even have private phone call directly with CEOs, CFOs, or investor relationship offices of firms. A survey research finds that analysts rank private communication with management as the most useful input to earnings forecast and stock recommendation (Brown et al., 2015). While private communication with management is beneficial, it is also costly for analysts to take time and effort to acquire such information. We argue that while some analysts in large brokerage enjoy access to firm’s private information, analysts in small brokerage may not. Since analysts in small brokerage firm may not have enough money and labor resource for firm coverage, they may not </w:t>
      </w:r>
      <w:r>
        <w:rPr>
          <w:rFonts w:hint="eastAsia" w:eastAsia="等线" w:cs="Times New Roman"/>
          <w:sz w:val="24"/>
          <w:szCs w:val="24"/>
        </w:rPr>
        <w:t>fu</w:t>
      </w:r>
      <w:r>
        <w:rPr>
          <w:rFonts w:eastAsia="等线" w:cs="Times New Roman"/>
          <w:sz w:val="24"/>
          <w:szCs w:val="24"/>
        </w:rPr>
        <w:t>lly access firm’s private information and thus make decisions on stock recommendations and earnings forecasts without using firm’s private information. Consequently, analysts from brokerages with different size are more likely to make decisions based on different information sets and believes, and thus they hold different opinions on one firm.</w:t>
      </w:r>
    </w:p>
    <w:p>
      <w:pPr>
        <w:widowControl/>
        <w:spacing w:after="0" w:line="480" w:lineRule="auto"/>
        <w:ind w:firstLine="480" w:firstLineChars="200"/>
        <w:rPr>
          <w:rFonts w:eastAsia="等线" w:cs="Times New Roman"/>
          <w:sz w:val="24"/>
          <w:szCs w:val="24"/>
        </w:rPr>
      </w:pPr>
      <w:r>
        <w:rPr>
          <w:rFonts w:eastAsia="等线" w:cs="Times New Roman"/>
          <w:sz w:val="24"/>
          <w:szCs w:val="24"/>
        </w:rPr>
        <w:t xml:space="preserve">H1: </w:t>
      </w:r>
      <w:bookmarkStart w:id="2" w:name="_Hlk70809320"/>
      <w:r>
        <w:rPr>
          <w:rFonts w:eastAsia="等线" w:cs="Times New Roman"/>
          <w:sz w:val="24"/>
          <w:szCs w:val="24"/>
        </w:rPr>
        <w:t xml:space="preserve">The disagreement between analysts from brokerages with different size is large. </w:t>
      </w:r>
    </w:p>
    <w:bookmarkEnd w:id="2"/>
    <w:p>
      <w:pPr>
        <w:widowControl/>
        <w:spacing w:after="0" w:line="480" w:lineRule="auto"/>
        <w:ind w:firstLine="480" w:firstLineChars="200"/>
        <w:rPr>
          <w:rFonts w:eastAsia="等线" w:cs="Times New Roman"/>
          <w:sz w:val="24"/>
          <w:szCs w:val="24"/>
        </w:rPr>
      </w:pPr>
      <w:r>
        <w:rPr>
          <w:rFonts w:eastAsia="等线" w:cs="Times New Roman"/>
          <w:sz w:val="24"/>
          <w:szCs w:val="24"/>
        </w:rPr>
        <w:t xml:space="preserve">Public information is another type of information as analysts’ inputs into decision-making processes. For public information, an analyst gathers and extracts information available from a firm’s stock price and financial reports. For example, researchers documented evidence that analysts consider past stock returns when determine stock recommendations and earnings forecasts based on the assumption that past stock returns indicate future earnings (Lys and Sohn, 1990; Abarbanell, 1991). In addition to stock returns, information from financial reports such as recent 10-K and 10-Q are another key input for analysts’ stock recommendations and earnings forecasts (Bradshaw et al., 2001). These financial reports provide analysts with not only hard information such as earnings and its different components but also soft information such as management earnings forecasts and discussion of firms’ strategies which are indicative of firms’ fundamentals and useful for analysts’ predication of firms’ future profitability (Williams, 1996; Barron et al., 1999). </w:t>
      </w:r>
    </w:p>
    <w:p>
      <w:pPr>
        <w:widowControl/>
        <w:spacing w:after="0" w:line="480" w:lineRule="auto"/>
        <w:ind w:firstLine="480" w:firstLineChars="200"/>
        <w:rPr>
          <w:rFonts w:eastAsia="等线" w:cs="Times New Roman"/>
          <w:sz w:val="24"/>
          <w:szCs w:val="24"/>
        </w:rPr>
      </w:pPr>
      <w:r>
        <w:rPr>
          <w:rFonts w:eastAsia="等线" w:cs="Times New Roman"/>
          <w:sz w:val="24"/>
          <w:szCs w:val="24"/>
        </w:rPr>
        <w:t>Even though public information is available for every analyst on capital markets, it is still possible that one analyst holds opinions different with the other analyst because of analysts’ different interpretations of the information. For example, analysts use different valuation models such as price/earnings model, discounted cash flow model, and residual income model to support their decision in earnings forecasts and stock recommendations. They can choose appropriate models based on their experience or industry specialty. In addition to valuation models, analysts choose specific information and its weights to put into valuation model according to their work experience and industry knowledge. For hard information available to public, earnings and its components are accessible to each analyst, but may be used in different way by experienced analysts and young analysts. For instance, an experienced analyst chooses to exclude nonrecurring items in earnings rather than use earnings directly (Bradshaw et al., 2002). For soft information available to public, management discussion and analysis sections in financial reports provide a rich amount of information to public, but they cannot be easily comprehended and interpreted without industry knowledge. For instance, an experienced analyst who follows bank industry for several years may successfully forecast bankruptcy during financial crisis (The Wall Street Journal, 2015). Consequently, we assume that analysts play information integration role when analyze public information, and we hypothesize that similarly experienced analysts are more likely to hold similar opinions on one firm, and the opinion dispersion is smaller when analysts get access to the same public information source.</w:t>
      </w:r>
    </w:p>
    <w:p>
      <w:pPr>
        <w:widowControl/>
        <w:spacing w:after="0" w:line="480" w:lineRule="auto"/>
        <w:ind w:firstLine="480" w:firstLineChars="200"/>
        <w:rPr>
          <w:rFonts w:eastAsia="等线" w:cs="Times New Roman"/>
          <w:sz w:val="24"/>
          <w:szCs w:val="24"/>
        </w:rPr>
      </w:pPr>
      <w:r>
        <w:rPr>
          <w:rFonts w:eastAsia="等线" w:cs="Times New Roman"/>
          <w:sz w:val="24"/>
          <w:szCs w:val="24"/>
        </w:rPr>
        <w:t>H2: The disagreement between equally experienced analysts is small.</w:t>
      </w:r>
    </w:p>
    <w:p>
      <w:pPr>
        <w:widowControl/>
        <w:spacing w:after="0" w:line="480" w:lineRule="auto"/>
        <w:ind w:firstLine="480" w:firstLineChars="200"/>
        <w:rPr>
          <w:rFonts w:eastAsia="等线" w:cs="Times New Roman"/>
          <w:sz w:val="24"/>
          <w:szCs w:val="24"/>
        </w:rPr>
      </w:pPr>
      <w:r>
        <w:rPr>
          <w:rFonts w:eastAsia="等线" w:cs="Times New Roman"/>
          <w:sz w:val="24"/>
          <w:szCs w:val="24"/>
        </w:rPr>
        <w:t>H3: The disagreement between equally experienced analysts is smaller when they get access to the same public information source.</w:t>
      </w:r>
    </w:p>
    <w:p>
      <w:pPr>
        <w:rPr>
          <w:sz w:val="24"/>
          <w:szCs w:val="24"/>
        </w:rPr>
      </w:pPr>
    </w:p>
    <w:p>
      <w:pPr>
        <w:widowControl/>
        <w:numPr>
          <w:ilvl w:val="0"/>
          <w:numId w:val="1"/>
        </w:numPr>
        <w:spacing w:after="0" w:line="240" w:lineRule="auto"/>
        <w:ind w:left="0" w:leftChars="0" w:firstLine="0" w:firstLineChars="0"/>
        <w:rPr>
          <w:rFonts w:ascii="Times" w:hAnsi="Times" w:eastAsia="等线" w:cs="Times New Roman"/>
          <w:b/>
          <w:bCs/>
          <w:sz w:val="24"/>
          <w:szCs w:val="24"/>
        </w:rPr>
      </w:pPr>
      <w:r>
        <w:rPr>
          <w:rFonts w:ascii="Times" w:hAnsi="Times" w:eastAsia="等线" w:cs="Times New Roman"/>
          <w:b/>
          <w:bCs/>
          <w:sz w:val="24"/>
          <w:szCs w:val="24"/>
        </w:rPr>
        <w:t>Data and Research Design</w:t>
      </w:r>
    </w:p>
    <w:p>
      <w:pPr>
        <w:widowControl/>
        <w:numPr>
          <w:numId w:val="0"/>
        </w:numPr>
        <w:spacing w:after="0" w:line="240" w:lineRule="auto"/>
        <w:ind w:leftChars="0"/>
        <w:rPr>
          <w:rFonts w:ascii="Times" w:hAnsi="Times" w:eastAsia="等线" w:cs="Times New Roman"/>
          <w:b/>
          <w:bCs/>
          <w:sz w:val="24"/>
          <w:szCs w:val="24"/>
        </w:rPr>
      </w:pPr>
    </w:p>
    <w:p>
      <w:pPr>
        <w:widowControl/>
        <w:spacing w:after="0" w:line="480" w:lineRule="auto"/>
        <w:ind w:firstLine="480" w:firstLineChars="200"/>
        <w:rPr>
          <w:rFonts w:eastAsia="等线" w:cs="Times New Roman"/>
          <w:color w:val="FF0000"/>
          <w:sz w:val="24"/>
          <w:szCs w:val="24"/>
        </w:rPr>
      </w:pPr>
      <w:r>
        <w:rPr>
          <w:rFonts w:eastAsia="等线" w:cs="Times New Roman"/>
          <w:sz w:val="24"/>
          <w:szCs w:val="24"/>
        </w:rPr>
        <w:t>We start with the full Institutional Broker Estimate System (I/B/E/S) database. We use the I/B/E/S Unadjusted Detail Earnings Estimate History File to obtain analysts’ quarterly earnings forecast</w:t>
      </w:r>
      <w:r>
        <w:rPr>
          <w:rFonts w:hint="eastAsia" w:eastAsia="等线" w:cs="Times New Roman"/>
          <w:sz w:val="24"/>
          <w:szCs w:val="24"/>
        </w:rPr>
        <w:t>s</w:t>
      </w:r>
      <w:r>
        <w:rPr>
          <w:rFonts w:eastAsia="等线" w:cs="Times New Roman"/>
          <w:sz w:val="24"/>
          <w:szCs w:val="24"/>
        </w:rPr>
        <w:t xml:space="preserve">. We use I/B/E/S Recommendation File to obtain analysts’ characteristics and IBES recommendation code (where 1 means strong buy and 5 means strong sell). Applying Compustat North America Fundamentals dataset and CRSP dataset, the quarterly firms’ basic accounting information and stock price information data are obtained. </w:t>
      </w:r>
    </w:p>
    <w:p>
      <w:pPr>
        <w:widowControl/>
        <w:spacing w:after="0" w:line="240" w:lineRule="auto"/>
        <w:rPr>
          <w:rFonts w:ascii="Times" w:hAnsi="Times" w:eastAsia="等线" w:cs="Times New Roman"/>
          <w:sz w:val="24"/>
          <w:szCs w:val="24"/>
        </w:rPr>
      </w:pPr>
    </w:p>
    <w:tbl>
      <w:tblPr>
        <w:tblStyle w:val="9"/>
        <w:tblW w:w="0" w:type="auto"/>
        <w:tblInd w:w="0" w:type="dxa"/>
        <w:tblBorders>
          <w:top w:val="single" w:color="auto"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9"/>
        <w:gridCol w:w="4946"/>
        <w:gridCol w:w="1307"/>
      </w:tblGrid>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3"/>
            <w:tcBorders>
              <w:top w:val="single" w:color="000000" w:sz="8" w:space="0"/>
            </w:tcBorders>
            <w:vAlign w:val="center"/>
          </w:tcPr>
          <w:p>
            <w:pPr>
              <w:widowControl/>
              <w:spacing w:after="0" w:line="240" w:lineRule="auto"/>
              <w:jc w:val="center"/>
              <w:rPr>
                <w:rFonts w:ascii="Times" w:hAnsi="Times" w:eastAsia="等线" w:cs="Times New Roman"/>
                <w:sz w:val="24"/>
                <w:szCs w:val="24"/>
              </w:rPr>
            </w:pPr>
            <w:r>
              <w:rPr>
                <w:rFonts w:ascii="Times" w:hAnsi="Times" w:eastAsia="等线" w:cs="Times New Roman"/>
                <w:sz w:val="24"/>
                <w:szCs w:val="24"/>
              </w:rPr>
              <w:t>Raw Data Definitions</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000000" w:sz="4" w:space="0"/>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Name</w:t>
            </w:r>
          </w:p>
        </w:tc>
        <w:tc>
          <w:tcPr>
            <w:tcW w:w="0" w:type="auto"/>
            <w:tcBorders>
              <w:top w:val="single" w:color="000000" w:sz="4" w:space="0"/>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Definition</w:t>
            </w:r>
          </w:p>
        </w:tc>
        <w:tc>
          <w:tcPr>
            <w:tcW w:w="0" w:type="auto"/>
            <w:tcBorders>
              <w:top w:val="single" w:color="000000" w:sz="4" w:space="0"/>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Data Source</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EPS</w:t>
            </w:r>
          </w:p>
        </w:tc>
        <w:tc>
          <w:tcPr>
            <w:tcW w:w="0" w:type="auto"/>
            <w:tcBorders>
              <w:top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Earnings per share forecast</w:t>
            </w:r>
          </w:p>
        </w:tc>
        <w:tc>
          <w:tcPr>
            <w:tcW w:w="0" w:type="auto"/>
            <w:tcBorders>
              <w:top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Recommendation</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Indicator variables.</w:t>
            </w:r>
          </w:p>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before="100" w:beforeAutospacing="1" w:after="100" w:afterAutospacing="1" w:line="240" w:lineRule="auto"/>
              <w:jc w:val="left"/>
              <w:rPr>
                <w:rFonts w:ascii="Calibri" w:hAnsi="Calibri" w:eastAsia="Times New Roman" w:cs="Times New Roman"/>
                <w:sz w:val="24"/>
                <w:szCs w:val="24"/>
              </w:rPr>
            </w:pPr>
            <w:r>
              <w:rPr>
                <w:rFonts w:ascii="TimesNewRomanPSMT" w:hAnsi="TimesNewRomanPSMT" w:eastAsia="Times New Roman" w:cs="Times New Roman"/>
                <w:sz w:val="24"/>
                <w:szCs w:val="24"/>
              </w:rPr>
              <w:t>Working_Experience</w:t>
            </w:r>
          </w:p>
          <w:p>
            <w:pPr>
              <w:widowControl/>
              <w:spacing w:after="0" w:line="240" w:lineRule="auto"/>
              <w:jc w:val="left"/>
              <w:rPr>
                <w:rFonts w:ascii="Times" w:hAnsi="Times" w:eastAsia="等线" w:cs="Times New Roman"/>
                <w:sz w:val="24"/>
                <w:szCs w:val="24"/>
              </w:rPr>
            </w:pPr>
          </w:p>
        </w:tc>
        <w:tc>
          <w:tcPr>
            <w:tcW w:w="0" w:type="auto"/>
            <w:vAlign w:val="center"/>
          </w:tcPr>
          <w:p>
            <w:pPr>
              <w:widowControl/>
              <w:spacing w:before="100" w:beforeAutospacing="1" w:after="100" w:afterAutospacing="1" w:line="240" w:lineRule="auto"/>
              <w:jc w:val="left"/>
              <w:rPr>
                <w:rFonts w:ascii="Calibri" w:hAnsi="Calibri" w:eastAsia="Times New Roman" w:cs="Times New Roman"/>
                <w:sz w:val="24"/>
                <w:szCs w:val="24"/>
              </w:rPr>
            </w:pPr>
            <w:r>
              <w:rPr>
                <w:rFonts w:ascii="TimesNewRomanPSMT" w:hAnsi="TimesNewRomanPSMT" w:eastAsia="Times New Roman" w:cs="Times New Roman"/>
                <w:sz w:val="24"/>
                <w:szCs w:val="24"/>
              </w:rPr>
              <w:t>The number of years since the analyst appears in IBES recommendation file</w:t>
            </w:r>
          </w:p>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 xml:space="preserve">Analyze_Experience  </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The number of years since the analyst provided his/her first recommendation for the given company.</w:t>
            </w:r>
          </w:p>
        </w:tc>
        <w:tc>
          <w:tcPr>
            <w:tcW w:w="0" w:type="auto"/>
            <w:vAlign w:val="center"/>
          </w:tcPr>
          <w:p>
            <w:pPr>
              <w:widowControl/>
              <w:spacing w:after="0" w:line="240" w:lineRule="auto"/>
              <w:jc w:val="left"/>
              <w:rPr>
                <w:rFonts w:ascii="Times" w:hAnsi="Times" w:eastAsia="等线" w:cs="Times New Roman"/>
                <w:sz w:val="24"/>
                <w:szCs w:val="24"/>
              </w:rPr>
            </w:pPr>
          </w:p>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Brokerage_Size</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Brokerage firm size. It is the number of analysts providing forecast for the given company in a given year.</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Stock price</w:t>
            </w:r>
          </w:p>
        </w:tc>
        <w:tc>
          <w:tcPr>
            <w:tcW w:w="0" w:type="auto"/>
            <w:vAlign w:val="center"/>
          </w:tcPr>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CRSP</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Firm_Size</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Natural log of market value</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Compustat</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Book/Market ratio</w:t>
            </w:r>
          </w:p>
        </w:tc>
        <w:tc>
          <w:tcPr>
            <w:tcW w:w="0" w:type="auto"/>
            <w:vAlign w:val="center"/>
          </w:tcPr>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Compustat</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Debt/Equity Ratio</w:t>
            </w:r>
          </w:p>
        </w:tc>
        <w:tc>
          <w:tcPr>
            <w:tcW w:w="0" w:type="auto"/>
            <w:vAlign w:val="center"/>
          </w:tcPr>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Compustat</w:t>
            </w:r>
          </w:p>
        </w:tc>
      </w:tr>
      <w:tr>
        <w:tblPrEx>
          <w:tblBorders>
            <w:top w:val="single" w:color="auto"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000000" w:sz="8"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Sales/Total asset</w:t>
            </w:r>
          </w:p>
        </w:tc>
        <w:tc>
          <w:tcPr>
            <w:tcW w:w="0" w:type="auto"/>
            <w:tcBorders>
              <w:bottom w:val="single" w:color="000000" w:sz="8" w:space="0"/>
            </w:tcBorders>
            <w:vAlign w:val="center"/>
          </w:tcPr>
          <w:p>
            <w:pPr>
              <w:widowControl/>
              <w:spacing w:after="0" w:line="240" w:lineRule="auto"/>
              <w:jc w:val="left"/>
              <w:rPr>
                <w:rFonts w:ascii="Times" w:hAnsi="Times" w:eastAsia="等线" w:cs="Times New Roman"/>
                <w:sz w:val="24"/>
                <w:szCs w:val="24"/>
              </w:rPr>
            </w:pPr>
          </w:p>
        </w:tc>
        <w:tc>
          <w:tcPr>
            <w:tcW w:w="0" w:type="auto"/>
            <w:tcBorders>
              <w:bottom w:val="single" w:color="000000" w:sz="8"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Compustat</w:t>
            </w:r>
          </w:p>
        </w:tc>
      </w:tr>
    </w:tbl>
    <w:p>
      <w:pPr>
        <w:widowControl/>
        <w:spacing w:after="0" w:line="240" w:lineRule="auto"/>
        <w:rPr>
          <w:rFonts w:ascii="Times" w:hAnsi="Times" w:eastAsia="等线" w:cs="Times New Roman"/>
          <w:sz w:val="24"/>
          <w:szCs w:val="24"/>
        </w:rPr>
      </w:pPr>
    </w:p>
    <w:p>
      <w:pPr>
        <w:widowControl/>
        <w:spacing w:after="0" w:line="240" w:lineRule="auto"/>
        <w:rPr>
          <w:rFonts w:ascii="Times" w:hAnsi="Times" w:eastAsia="等线" w:cs="Times New Roman"/>
          <w:sz w:val="24"/>
          <w:szCs w:val="24"/>
        </w:rPr>
      </w:pPr>
    </w:p>
    <w:p>
      <w:pPr>
        <w:widowControl/>
        <w:spacing w:after="0" w:line="240" w:lineRule="auto"/>
        <w:rPr>
          <w:rFonts w:ascii="Times" w:hAnsi="Times" w:eastAsia="等线" w:cs="Times New Roman"/>
          <w:sz w:val="24"/>
          <w:szCs w:val="24"/>
        </w:rPr>
      </w:pPr>
    </w:p>
    <w:tbl>
      <w:tblPr>
        <w:tblStyle w:val="9"/>
        <w:tblW w:w="0" w:type="auto"/>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96"/>
        <w:gridCol w:w="6331"/>
        <w:gridCol w:w="1095"/>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3"/>
            <w:vAlign w:val="center"/>
          </w:tcPr>
          <w:p>
            <w:pPr>
              <w:widowControl/>
              <w:spacing w:after="0" w:line="240" w:lineRule="auto"/>
              <w:jc w:val="center"/>
              <w:rPr>
                <w:rFonts w:ascii="Times" w:hAnsi="Times" w:eastAsia="等线" w:cs="Times New Roman"/>
                <w:sz w:val="24"/>
                <w:szCs w:val="24"/>
              </w:rPr>
            </w:pPr>
            <w:r>
              <w:rPr>
                <w:rFonts w:ascii="Times" w:hAnsi="Times" w:eastAsia="等线" w:cs="Times New Roman"/>
                <w:sz w:val="24"/>
                <w:szCs w:val="24"/>
              </w:rPr>
              <w:t>Variables Definitions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top w:val="single" w:color="000000" w:sz="4" w:space="0"/>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Name</w:t>
            </w:r>
          </w:p>
        </w:tc>
        <w:tc>
          <w:tcPr>
            <w:tcW w:w="0" w:type="auto"/>
            <w:tcBorders>
              <w:top w:val="single" w:color="000000" w:sz="4" w:space="0"/>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Definition</w:t>
            </w:r>
          </w:p>
        </w:tc>
        <w:tc>
          <w:tcPr>
            <w:tcW w:w="0" w:type="auto"/>
            <w:tcBorders>
              <w:top w:val="single" w:color="000000" w:sz="4" w:space="0"/>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Data Source</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3"/>
            <w:tcBorders>
              <w:bottom w:val="single" w:color="000000" w:sz="4" w:space="0"/>
            </w:tcBorders>
            <w:vAlign w:val="center"/>
          </w:tcPr>
          <w:p>
            <w:pPr>
              <w:widowControl/>
              <w:spacing w:after="0" w:line="240" w:lineRule="auto"/>
              <w:jc w:val="center"/>
              <w:rPr>
                <w:rFonts w:ascii="Times" w:hAnsi="Times" w:eastAsia="等线" w:cs="Times New Roman"/>
                <w:sz w:val="24"/>
                <w:szCs w:val="24"/>
              </w:rPr>
            </w:pPr>
            <w:r>
              <w:rPr>
                <w:rFonts w:ascii="Times" w:hAnsi="Times" w:eastAsia="等线" w:cs="Times New Roman"/>
                <w:sz w:val="24"/>
                <w:szCs w:val="24"/>
              </w:rPr>
              <w:t>Panel A: Dispersion Variables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3" w:hRule="atLeast"/>
        </w:trPr>
        <w:tc>
          <w:tcPr>
            <w:tcW w:w="0" w:type="auto"/>
            <w:tcBorders>
              <w:top w:val="single" w:color="000000" w:sz="4" w:space="0"/>
            </w:tcBorders>
            <w:vAlign w:val="center"/>
          </w:tcPr>
          <w:p>
            <w:pPr>
              <w:widowControl/>
              <w:spacing w:after="0" w:line="240" w:lineRule="auto"/>
              <w:jc w:val="left"/>
              <w:rPr>
                <w:rFonts w:ascii="Times" w:hAnsi="Times" w:eastAsia="等线" w:cs="Times New Roman"/>
                <w:sz w:val="24"/>
                <w:szCs w:val="24"/>
              </w:rPr>
            </w:pPr>
            <m:oMath>
              <m:r>
                <m:rPr/>
                <w:rPr>
                  <w:rFonts w:ascii="Cambria Math" w:hAnsi="Cambria Math" w:eastAsia="等线" w:cs="Times New Roman"/>
                  <w:sz w:val="24"/>
                  <w:szCs w:val="24"/>
                </w:rPr>
                <m:t>∆EPS</m:t>
              </m:r>
            </m:oMath>
            <w:r>
              <w:rPr>
                <w:rFonts w:ascii="Times" w:hAnsi="Times" w:eastAsia="等线" w:cs="Times New Roman"/>
                <w:sz w:val="24"/>
                <w:szCs w:val="24"/>
              </w:rPr>
              <w:t xml:space="preserve"> </w:t>
            </w:r>
          </w:p>
        </w:tc>
        <w:tc>
          <w:tcPr>
            <w:tcW w:w="0" w:type="auto"/>
            <w:tcBorders>
              <w:top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Difference between two analysts’ earnings per share forecast</w:t>
            </w:r>
          </w:p>
        </w:tc>
        <w:tc>
          <w:tcPr>
            <w:tcW w:w="0" w:type="auto"/>
            <w:tcBorders>
              <w:top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tcBorders>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Bold</w:t>
            </w:r>
          </w:p>
        </w:tc>
        <w:tc>
          <w:tcPr>
            <w:tcW w:w="0" w:type="auto"/>
            <w:tcBorders>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Bold is the absolute difference between the analyst’s recommendation and the average recommendation of all other analysts covering the same company.</w:t>
            </w:r>
          </w:p>
        </w:tc>
        <w:tc>
          <w:tcPr>
            <w:tcW w:w="0" w:type="auto"/>
            <w:tcBorders>
              <w:bottom w:val="single" w:color="000000" w:sz="4" w:space="0"/>
            </w:tcBorders>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gridSpan w:val="3"/>
            <w:vAlign w:val="center"/>
          </w:tcPr>
          <w:p>
            <w:pPr>
              <w:widowControl/>
              <w:spacing w:after="0" w:line="240" w:lineRule="auto"/>
              <w:jc w:val="center"/>
              <w:rPr>
                <w:rFonts w:ascii="Times" w:hAnsi="Times" w:eastAsia="等线" w:cs="Times New Roman"/>
                <w:sz w:val="24"/>
                <w:szCs w:val="24"/>
              </w:rPr>
            </w:pPr>
            <w:r>
              <w:rPr>
                <w:rFonts w:ascii="Times" w:hAnsi="Times" w:eastAsia="等线" w:cs="Times New Roman"/>
                <w:sz w:val="24"/>
                <w:szCs w:val="24"/>
              </w:rPr>
              <w:t>Panel B: Independent Variables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0" w:hRule="atLeast"/>
        </w:trPr>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IWork</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The difference between two analysts’ working experience</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rPr>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IAnalyze</w:t>
            </w:r>
          </w:p>
          <w:p>
            <w:pPr>
              <w:widowControl/>
              <w:spacing w:after="0" w:line="240" w:lineRule="auto"/>
              <w:jc w:val="left"/>
              <w:rPr>
                <w:rFonts w:ascii="Times" w:hAnsi="Times" w:eastAsia="等线" w:cs="Times New Roman"/>
                <w:sz w:val="24"/>
                <w:szCs w:val="24"/>
              </w:rPr>
            </w:pP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 xml:space="preserve">The difference between two analysts analyze experience </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ISize</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 xml:space="preserve">The difference between two analysts’ brokerage firm size. </w:t>
            </w:r>
          </w:p>
        </w:tc>
        <w:tc>
          <w:tcPr>
            <w:tcW w:w="0" w:type="auto"/>
            <w:vAlign w:val="center"/>
          </w:tcPr>
          <w:p>
            <w:pPr>
              <w:widowControl/>
              <w:spacing w:after="0" w:line="240" w:lineRule="auto"/>
              <w:jc w:val="left"/>
              <w:rPr>
                <w:rFonts w:ascii="Times" w:hAnsi="Times" w:eastAsia="等线" w:cs="Times New Roman"/>
                <w:sz w:val="24"/>
                <w:szCs w:val="24"/>
              </w:rPr>
            </w:pPr>
            <w:r>
              <w:rPr>
                <w:rFonts w:ascii="Times" w:hAnsi="Times" w:eastAsia="等线" w:cs="Times New Roman"/>
                <w:sz w:val="24"/>
                <w:szCs w:val="24"/>
              </w:rPr>
              <w:t>I/B/E/S</w:t>
            </w:r>
          </w:p>
        </w:tc>
      </w:tr>
    </w:tbl>
    <w:p>
      <w:pPr>
        <w:widowControl/>
        <w:spacing w:after="0" w:line="480" w:lineRule="auto"/>
        <w:rPr>
          <w:rFonts w:eastAsia="等线" w:cs="Times New Roman"/>
          <w:color w:val="FF0000"/>
          <w:sz w:val="24"/>
          <w:szCs w:val="24"/>
        </w:rPr>
      </w:pPr>
    </w:p>
    <w:p>
      <w:pPr>
        <w:widowControl/>
        <w:spacing w:after="0" w:line="480" w:lineRule="auto"/>
        <w:ind w:firstLine="480" w:firstLineChars="200"/>
        <w:rPr>
          <w:rFonts w:eastAsia="等线" w:cs="Times New Roman"/>
          <w:color w:val="FF0000"/>
          <w:sz w:val="24"/>
          <w:szCs w:val="24"/>
        </w:rPr>
      </w:pPr>
      <w:r>
        <w:rPr>
          <w:rFonts w:eastAsia="等线" w:cs="Times New Roman"/>
          <w:sz w:val="24"/>
          <w:szCs w:val="24"/>
        </w:rPr>
        <w:t>Our sample period is from 2010 to 2019</w:t>
      </w:r>
      <w:r>
        <w:rPr>
          <w:rFonts w:hint="eastAsia" w:eastAsia="等线" w:cs="Times New Roman"/>
          <w:sz w:val="24"/>
          <w:szCs w:val="24"/>
        </w:rPr>
        <w:t>.</w:t>
      </w:r>
      <w:r>
        <w:rPr>
          <w:rFonts w:eastAsia="等线" w:cs="Times New Roman"/>
          <w:sz w:val="24"/>
          <w:szCs w:val="24"/>
        </w:rPr>
        <w:t xml:space="preserve"> We avoid the years of 2008 and 2020 because important financial recessions may affect our result. We clean the raw data and generate variables in the following ways: </w:t>
      </w:r>
      <w:r>
        <w:rPr>
          <w:rFonts w:hint="eastAsia" w:eastAsia="等线" w:cs="Times New Roman"/>
          <w:sz w:val="24"/>
          <w:szCs w:val="24"/>
        </w:rPr>
        <w:t>For</w:t>
      </w:r>
      <w:r>
        <w:rPr>
          <w:rFonts w:eastAsia="等线" w:cs="Times New Roman"/>
          <w:sz w:val="24"/>
          <w:szCs w:val="24"/>
        </w:rPr>
        <w:t xml:space="preserve"> each target firm j and quarter t, we obtain several analysts’ earnings forecasts and stock recommendations, and then we generate analyst i’s dispersion by calculating the difference of his (her) opinion with the other analyst’s opinion</w:t>
      </w:r>
      <w:r>
        <w:rPr>
          <w:rFonts w:hint="eastAsia" w:eastAsia="等线" w:cs="Times New Roman"/>
          <w:sz w:val="24"/>
          <w:szCs w:val="24"/>
        </w:rPr>
        <w:t>.</w:t>
      </w:r>
      <w:r>
        <w:rPr>
          <w:rFonts w:eastAsia="等线" w:cs="Times New Roman"/>
          <w:sz w:val="24"/>
          <w:szCs w:val="24"/>
        </w:rPr>
        <w:t xml:space="preserve"> </w:t>
      </w:r>
      <w:r>
        <w:rPr>
          <w:rFonts w:hint="eastAsia" w:eastAsia="等线" w:cs="Times New Roman"/>
          <w:sz w:val="24"/>
          <w:szCs w:val="24"/>
        </w:rPr>
        <w:t>We</w:t>
      </w:r>
      <w:r>
        <w:rPr>
          <w:rFonts w:eastAsia="等线" w:cs="Times New Roman"/>
          <w:sz w:val="24"/>
          <w:szCs w:val="24"/>
        </w:rPr>
        <w:t xml:space="preserve"> </w:t>
      </w:r>
      <w:r>
        <w:rPr>
          <w:rFonts w:hint="eastAsia" w:eastAsia="等线" w:cs="Times New Roman"/>
          <w:sz w:val="24"/>
          <w:szCs w:val="24"/>
        </w:rPr>
        <w:t>obtain</w:t>
      </w:r>
      <w:r>
        <w:rPr>
          <w:rFonts w:eastAsia="等线" w:cs="Times New Roman"/>
          <w:sz w:val="24"/>
          <w:szCs w:val="24"/>
        </w:rPr>
        <w:t xml:space="preserve"> the other variables in the similar way. </w:t>
      </w:r>
    </w:p>
    <w:p>
      <w:pPr>
        <w:widowControl/>
        <w:spacing w:after="0" w:line="480" w:lineRule="auto"/>
        <w:ind w:firstLine="480" w:firstLineChars="200"/>
        <w:rPr>
          <w:rFonts w:eastAsia="等线" w:cs="Times New Roman"/>
          <w:sz w:val="24"/>
          <w:szCs w:val="24"/>
        </w:rPr>
      </w:pPr>
      <w:r>
        <w:rPr>
          <w:rFonts w:eastAsia="等线" w:cs="Times New Roman"/>
          <w:sz w:val="24"/>
          <w:szCs w:val="24"/>
        </w:rPr>
        <w:t>Our research question seeks to understand the sources of analysts’ forecast dispersion. We address this question by regressing the analysts’ forecast dispersion on their characteristics including the difference their broker firm’s size, the difference of their working experience, the difference between their analyst experience, and some firm specific controlled variables. In the main analysis, we are going to estimate the following equation using OLS model and panel data</w:t>
      </w:r>
      <w:r>
        <w:rPr>
          <w:rFonts w:hint="eastAsia" w:eastAsia="等线" w:cs="Times New Roman"/>
          <w:sz w:val="24"/>
          <w:szCs w:val="24"/>
        </w:rPr>
        <w:t>.</w:t>
      </w:r>
      <w:r>
        <w:rPr>
          <w:rFonts w:eastAsia="等线" w:cs="Times New Roman"/>
          <w:sz w:val="24"/>
          <w:szCs w:val="24"/>
        </w:rPr>
        <w:t xml:space="preserve"> We predict the coefficient of </w:t>
      </w:r>
      <w:r>
        <w:rPr>
          <w:rFonts w:eastAsia="等线" w:cs="Times New Roman"/>
          <w:i/>
          <w:iCs/>
          <w:sz w:val="24"/>
          <w:szCs w:val="24"/>
        </w:rPr>
        <w:t>ICompany</w:t>
      </w:r>
      <w:r>
        <w:rPr>
          <w:rFonts w:eastAsia="等线" w:cs="Times New Roman"/>
          <w:sz w:val="24"/>
          <w:szCs w:val="24"/>
        </w:rPr>
        <w:t xml:space="preserve"> to be positive </w:t>
      </w:r>
      <w:r>
        <w:rPr>
          <w:rFonts w:hint="eastAsia" w:eastAsia="等线" w:cs="Times New Roman"/>
          <w:sz w:val="24"/>
          <w:szCs w:val="24"/>
        </w:rPr>
        <w:t>b</w:t>
      </w:r>
      <w:r>
        <w:rPr>
          <w:rFonts w:eastAsia="等线" w:cs="Times New Roman"/>
          <w:sz w:val="24"/>
          <w:szCs w:val="24"/>
        </w:rPr>
        <w:t xml:space="preserve">ased on our first hypothesis (H1) that divergence between analysts’ opinions is large when these analysts work in brokerage firms with different size. We also predict the coefficients of </w:t>
      </w:r>
      <w:r>
        <w:rPr>
          <w:rFonts w:hint="eastAsia" w:eastAsia="等线" w:cs="Times New Roman"/>
          <w:i/>
          <w:iCs/>
          <w:sz w:val="24"/>
          <w:szCs w:val="24"/>
        </w:rPr>
        <w:t>I</w:t>
      </w:r>
      <w:r>
        <w:rPr>
          <w:rFonts w:eastAsia="等线" w:cs="Times New Roman"/>
          <w:i/>
          <w:iCs/>
          <w:sz w:val="24"/>
          <w:szCs w:val="24"/>
        </w:rPr>
        <w:t>W</w:t>
      </w:r>
      <w:r>
        <w:rPr>
          <w:rFonts w:hint="eastAsia" w:eastAsia="等线" w:cs="Times New Roman"/>
          <w:i/>
          <w:iCs/>
          <w:sz w:val="24"/>
          <w:szCs w:val="24"/>
        </w:rPr>
        <w:t>orking</w:t>
      </w:r>
      <w:r>
        <w:rPr>
          <w:rFonts w:eastAsia="等线" w:cs="Times New Roman"/>
          <w:sz w:val="24"/>
          <w:szCs w:val="24"/>
        </w:rPr>
        <w:t xml:space="preserve"> </w:t>
      </w:r>
      <w:r>
        <w:rPr>
          <w:rFonts w:hint="eastAsia" w:eastAsia="等线" w:cs="Times New Roman"/>
          <w:sz w:val="24"/>
          <w:szCs w:val="24"/>
        </w:rPr>
        <w:t>and</w:t>
      </w:r>
      <w:r>
        <w:rPr>
          <w:rFonts w:eastAsia="等线" w:cs="Times New Roman"/>
          <w:sz w:val="24"/>
          <w:szCs w:val="24"/>
        </w:rPr>
        <w:t xml:space="preserve"> </w:t>
      </w:r>
      <w:r>
        <w:rPr>
          <w:rFonts w:hint="eastAsia" w:eastAsia="等线" w:cs="Times New Roman"/>
          <w:i/>
          <w:iCs/>
          <w:sz w:val="24"/>
          <w:szCs w:val="24"/>
        </w:rPr>
        <w:t>IAnalyst</w:t>
      </w:r>
      <w:r>
        <w:rPr>
          <w:rFonts w:eastAsia="等线" w:cs="Times New Roman"/>
          <w:sz w:val="24"/>
          <w:szCs w:val="24"/>
        </w:rPr>
        <w:t xml:space="preserve"> to be positive based on our second hypothesis (H2) that divergence between analysts’ opinions is large when these analysts do not have similar level of experience. </w:t>
      </w:r>
    </w:p>
    <w:p>
      <w:pPr>
        <w:widowControl/>
        <w:spacing w:after="0" w:line="480" w:lineRule="auto"/>
        <w:ind w:firstLine="480" w:firstLineChars="200"/>
        <w:rPr>
          <w:rFonts w:eastAsia="等线" w:cs="Times New Roman"/>
          <w:sz w:val="24"/>
          <w:szCs w:val="24"/>
        </w:rPr>
      </w:pPr>
      <m:oMathPara>
        <m:oMath>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Dispersion</m:t>
              </m:r>
              <m:ctrlPr>
                <w:rPr>
                  <w:rFonts w:ascii="Cambria Math" w:hAnsi="Cambria Math" w:eastAsia="等线" w:cs="Times New Roman"/>
                  <w:sz w:val="24"/>
                  <w:szCs w:val="24"/>
                </w:rPr>
              </m:ctrlPr>
            </m:e>
            <m:sub>
              <m:r>
                <m:rPr/>
                <w:rPr>
                  <w:rFonts w:ascii="Cambria Math" w:hAnsi="Cambria Math" w:eastAsia="等线" w:cs="Times New Roman"/>
                  <w:sz w:val="24"/>
                  <w:szCs w:val="24"/>
                </w:rPr>
                <m:t>i,j,t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ISize</m:t>
              </m:r>
              <m:ctrlPr>
                <w:rPr>
                  <w:rFonts w:ascii="Cambria Math" w:hAnsi="Cambria Math" w:eastAsia="等线" w:cs="Times New Roman"/>
                  <w:sz w:val="24"/>
                  <w:szCs w:val="24"/>
                </w:rPr>
              </m:ctrlPr>
            </m:e>
            <m:sub>
              <m:r>
                <m:rPr/>
                <w:rPr>
                  <w:rFonts w:ascii="Cambria Math" w:hAnsi="Cambria Math" w:eastAsia="等线" w:cs="Times New Roman"/>
                  <w:sz w:val="24"/>
                  <w:szCs w:val="24"/>
                </w:rPr>
                <m:t>i,j,t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IWorking</m:t>
              </m:r>
              <m:ctrlPr>
                <w:rPr>
                  <w:rFonts w:ascii="Cambria Math" w:hAnsi="Cambria Math" w:eastAsia="等线" w:cs="Times New Roman"/>
                  <w:sz w:val="24"/>
                  <w:szCs w:val="24"/>
                </w:rPr>
              </m:ctrlPr>
            </m:e>
            <m:sub>
              <m:r>
                <m:rPr/>
                <w:rPr>
                  <w:rFonts w:ascii="Cambria Math" w:hAnsi="Cambria Math" w:eastAsia="等线" w:cs="Times New Roman"/>
                  <w:sz w:val="24"/>
                  <w:szCs w:val="24"/>
                </w:rPr>
                <m:t>i,j,t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IAnalyst</m:t>
              </m:r>
              <m:ctrlPr>
                <w:rPr>
                  <w:rFonts w:ascii="Cambria Math" w:hAnsi="Cambria Math" w:eastAsia="等线" w:cs="Times New Roman"/>
                  <w:sz w:val="24"/>
                  <w:szCs w:val="24"/>
                </w:rPr>
              </m:ctrlPr>
            </m:e>
            <m:sub>
              <m:r>
                <m:rPr/>
                <w:rPr>
                  <w:rFonts w:ascii="Cambria Math" w:hAnsi="Cambria Math" w:eastAsia="等线" w:cs="Times New Roman"/>
                  <w:sz w:val="24"/>
                  <w:szCs w:val="24"/>
                </w:rPr>
                <m:t>i,j,t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Controlled</m:t>
              </m:r>
              <m:ctrlPr>
                <w:rPr>
                  <w:rFonts w:ascii="Cambria Math" w:hAnsi="Cambria Math" w:eastAsia="等线" w:cs="Times New Roman"/>
                  <w:sz w:val="24"/>
                  <w:szCs w:val="24"/>
                </w:rPr>
              </m:ctrlPr>
            </m:e>
            <m:sub>
              <m:r>
                <m:rPr/>
                <w:rPr>
                  <w:rFonts w:ascii="Cambria Math" w:hAnsi="Cambria Math" w:eastAsia="等线" w:cs="Times New Roman"/>
                  <w:sz w:val="24"/>
                  <w:szCs w:val="24"/>
                </w:rPr>
                <m:t>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r>
            <m:rPr/>
            <w:rPr>
              <w:rFonts w:ascii="Cambria Math" w:hAnsi="Cambria Math" w:eastAsia="等线" w:cs="Times New Roman"/>
              <w:sz w:val="24"/>
              <w:szCs w:val="24"/>
            </w:rPr>
            <m:t>Fixed effects</m:t>
          </m:r>
          <m:r>
            <m:rPr>
              <m:sty m:val="p"/>
            </m:rPr>
            <w:rPr>
              <w:rFonts w:ascii="Cambria Math" w:hAnsi="Cambria Math" w:eastAsia="等线" w:cs="Times New Roman"/>
              <w:sz w:val="24"/>
              <w:szCs w:val="24"/>
            </w:rPr>
            <m:t>+</m:t>
          </m:r>
          <m:r>
            <m:rPr/>
            <w:rPr>
              <w:rFonts w:ascii="Cambria Math" w:hAnsi="Cambria Math" w:eastAsia="等线" w:cs="Times New Roman"/>
              <w:sz w:val="24"/>
              <w:szCs w:val="24"/>
            </w:rPr>
            <m:t>ε</m:t>
          </m:r>
        </m:oMath>
      </m:oMathPara>
    </w:p>
    <w:p>
      <w:pPr>
        <w:widowControl/>
        <w:spacing w:after="0" w:line="480" w:lineRule="auto"/>
        <w:ind w:firstLine="480" w:firstLineChars="200"/>
        <w:rPr>
          <w:rFonts w:eastAsia="等线" w:cs="Times New Roman"/>
          <w:sz w:val="24"/>
          <w:szCs w:val="24"/>
        </w:rPr>
      </w:pPr>
      <w:r>
        <w:rPr>
          <w:rFonts w:eastAsia="等线" w:cs="Times New Roman"/>
          <w:sz w:val="24"/>
          <w:szCs w:val="24"/>
        </w:rPr>
        <w:t xml:space="preserve">In additional analysis, we use fundamental controlled variables as proxies for firm’s public information to test our third hypothesis (H3). We hypothesize that analysts play stronger information integration role when control for public information, and thus the coefficients of </w:t>
      </w:r>
      <w:r>
        <w:rPr>
          <w:rFonts w:hint="eastAsia" w:eastAsia="等线" w:cs="Times New Roman"/>
          <w:i/>
          <w:iCs/>
          <w:sz w:val="24"/>
          <w:szCs w:val="24"/>
        </w:rPr>
        <w:t>I</w:t>
      </w:r>
      <w:r>
        <w:rPr>
          <w:rFonts w:eastAsia="等线" w:cs="Times New Roman"/>
          <w:i/>
          <w:iCs/>
          <w:sz w:val="24"/>
          <w:szCs w:val="24"/>
        </w:rPr>
        <w:t>W</w:t>
      </w:r>
      <w:r>
        <w:rPr>
          <w:rFonts w:hint="eastAsia" w:eastAsia="等线" w:cs="Times New Roman"/>
          <w:i/>
          <w:iCs/>
          <w:sz w:val="24"/>
          <w:szCs w:val="24"/>
        </w:rPr>
        <w:t>orking</w:t>
      </w:r>
      <w:r>
        <w:rPr>
          <w:rFonts w:eastAsia="等线" w:cs="Times New Roman"/>
          <w:i/>
          <w:iCs/>
          <w:sz w:val="24"/>
          <w:szCs w:val="24"/>
        </w:rPr>
        <w:t xml:space="preserve">*Controlled </w:t>
      </w:r>
      <w:r>
        <w:rPr>
          <w:rFonts w:eastAsia="等线" w:cs="Times New Roman"/>
          <w:sz w:val="24"/>
          <w:szCs w:val="24"/>
        </w:rPr>
        <w:t>and</w:t>
      </w:r>
      <w:r>
        <w:rPr>
          <w:rFonts w:eastAsia="等线" w:cs="Times New Roman"/>
          <w:i/>
          <w:iCs/>
          <w:sz w:val="24"/>
          <w:szCs w:val="24"/>
        </w:rPr>
        <w:t xml:space="preserve"> </w:t>
      </w:r>
      <w:r>
        <w:rPr>
          <w:rFonts w:hint="eastAsia" w:eastAsia="等线" w:cs="Times New Roman"/>
          <w:i/>
          <w:iCs/>
          <w:sz w:val="24"/>
          <w:szCs w:val="24"/>
        </w:rPr>
        <w:t>I</w:t>
      </w:r>
      <w:r>
        <w:rPr>
          <w:rFonts w:eastAsia="等线" w:cs="Times New Roman"/>
          <w:i/>
          <w:iCs/>
          <w:sz w:val="24"/>
          <w:szCs w:val="24"/>
        </w:rPr>
        <w:t xml:space="preserve">Analyst*Controlled </w:t>
      </w:r>
      <w:r>
        <w:rPr>
          <w:rFonts w:eastAsia="等线" w:cs="Times New Roman"/>
          <w:sz w:val="24"/>
          <w:szCs w:val="24"/>
        </w:rPr>
        <w:t xml:space="preserve">are predicted be positive when the coefficients of controlled variables are positive, and the coefficients of </w:t>
      </w:r>
      <w:r>
        <w:rPr>
          <w:rFonts w:hint="eastAsia" w:eastAsia="等线" w:cs="Times New Roman"/>
          <w:i/>
          <w:iCs/>
          <w:sz w:val="24"/>
          <w:szCs w:val="24"/>
        </w:rPr>
        <w:t>I</w:t>
      </w:r>
      <w:r>
        <w:rPr>
          <w:rFonts w:eastAsia="等线" w:cs="Times New Roman"/>
          <w:i/>
          <w:iCs/>
          <w:sz w:val="24"/>
          <w:szCs w:val="24"/>
        </w:rPr>
        <w:t>W</w:t>
      </w:r>
      <w:r>
        <w:rPr>
          <w:rFonts w:hint="eastAsia" w:eastAsia="等线" w:cs="Times New Roman"/>
          <w:i/>
          <w:iCs/>
          <w:sz w:val="24"/>
          <w:szCs w:val="24"/>
        </w:rPr>
        <w:t>orking</w:t>
      </w:r>
      <w:r>
        <w:rPr>
          <w:rFonts w:eastAsia="等线" w:cs="Times New Roman"/>
          <w:i/>
          <w:iCs/>
          <w:sz w:val="24"/>
          <w:szCs w:val="24"/>
        </w:rPr>
        <w:t xml:space="preserve">*Controlled </w:t>
      </w:r>
      <w:r>
        <w:rPr>
          <w:rFonts w:eastAsia="等线" w:cs="Times New Roman"/>
          <w:sz w:val="24"/>
          <w:szCs w:val="24"/>
        </w:rPr>
        <w:t>and</w:t>
      </w:r>
      <w:r>
        <w:rPr>
          <w:rFonts w:eastAsia="等线" w:cs="Times New Roman"/>
          <w:i/>
          <w:iCs/>
          <w:sz w:val="24"/>
          <w:szCs w:val="24"/>
        </w:rPr>
        <w:t xml:space="preserve"> </w:t>
      </w:r>
      <w:r>
        <w:rPr>
          <w:rFonts w:hint="eastAsia" w:eastAsia="等线" w:cs="Times New Roman"/>
          <w:i/>
          <w:iCs/>
          <w:sz w:val="24"/>
          <w:szCs w:val="24"/>
        </w:rPr>
        <w:t>I</w:t>
      </w:r>
      <w:r>
        <w:rPr>
          <w:rFonts w:eastAsia="等线" w:cs="Times New Roman"/>
          <w:i/>
          <w:iCs/>
          <w:sz w:val="24"/>
          <w:szCs w:val="24"/>
        </w:rPr>
        <w:t xml:space="preserve">Analyst*Controlled </w:t>
      </w:r>
      <w:r>
        <w:rPr>
          <w:rFonts w:eastAsia="等线" w:cs="Times New Roman"/>
          <w:sz w:val="24"/>
          <w:szCs w:val="24"/>
        </w:rPr>
        <w:t>are predicted</w:t>
      </w:r>
      <w:r>
        <w:rPr>
          <w:rFonts w:eastAsia="等线" w:cs="Times New Roman"/>
          <w:i/>
          <w:iCs/>
          <w:sz w:val="24"/>
          <w:szCs w:val="24"/>
        </w:rPr>
        <w:t xml:space="preserve"> </w:t>
      </w:r>
      <w:r>
        <w:rPr>
          <w:rFonts w:eastAsia="等线" w:cs="Times New Roman"/>
          <w:sz w:val="24"/>
          <w:szCs w:val="24"/>
        </w:rPr>
        <w:t>to be negative when the coefficients of controlled variables are negative.</w:t>
      </w:r>
    </w:p>
    <w:p>
      <w:pPr>
        <w:widowControl/>
        <w:spacing w:after="0" w:line="480" w:lineRule="auto"/>
        <w:rPr>
          <w:rFonts w:eastAsia="等线" w:cs="Times New Roman"/>
          <w:sz w:val="24"/>
          <w:szCs w:val="24"/>
        </w:rPr>
      </w:pPr>
      <m:oMathPara>
        <m:oMath>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Dispersion</m:t>
              </m:r>
              <m:ctrlPr>
                <w:rPr>
                  <w:rFonts w:ascii="Cambria Math" w:hAnsi="Cambria Math" w:eastAsia="等线" w:cs="Times New Roman"/>
                  <w:sz w:val="24"/>
                  <w:szCs w:val="24"/>
                </w:rPr>
              </m:ctrlPr>
            </m:e>
            <m:sub>
              <m:r>
                <m:rPr/>
                <w:rPr>
                  <w:rFonts w:ascii="Cambria Math" w:hAnsi="Cambria Math" w:eastAsia="等线" w:cs="Times New Roman"/>
                  <w:sz w:val="24"/>
                  <w:szCs w:val="24"/>
                </w:rPr>
                <m:t>i,j,t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ISize</m:t>
              </m:r>
              <m:ctrlPr>
                <w:rPr>
                  <w:rFonts w:ascii="Cambria Math" w:hAnsi="Cambria Math" w:eastAsia="等线" w:cs="Times New Roman"/>
                  <w:sz w:val="24"/>
                  <w:szCs w:val="24"/>
                </w:rPr>
              </m:ctrlPr>
            </m:e>
            <m:sub>
              <m:r>
                <m:rPr/>
                <w:rPr>
                  <w:rFonts w:ascii="Cambria Math" w:hAnsi="Cambria Math" w:eastAsia="等线" w:cs="Times New Roman"/>
                  <w:sz w:val="24"/>
                  <w:szCs w:val="24"/>
                </w:rPr>
                <m:t>i,j,t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IWorking∗Controlled</m:t>
              </m:r>
              <m:ctrlPr>
                <w:rPr>
                  <w:rFonts w:ascii="Cambria Math" w:hAnsi="Cambria Math" w:eastAsia="等线" w:cs="Times New Roman"/>
                  <w:sz w:val="24"/>
                  <w:szCs w:val="24"/>
                </w:rPr>
              </m:ctrlPr>
            </m:e>
            <m:sub>
              <m:r>
                <m:rPr/>
                <w:rPr>
                  <w:rFonts w:ascii="Cambria Math" w:hAnsi="Cambria Math" w:eastAsia="等线" w:cs="Times New Roman"/>
                  <w:sz w:val="24"/>
                  <w:szCs w:val="24"/>
                </w:rPr>
                <m:t>i,j,t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IAnalyst∗Controlled</m:t>
              </m:r>
              <m:ctrlPr>
                <w:rPr>
                  <w:rFonts w:ascii="Cambria Math" w:hAnsi="Cambria Math" w:eastAsia="等线" w:cs="Times New Roman"/>
                  <w:sz w:val="24"/>
                  <w:szCs w:val="24"/>
                </w:rPr>
              </m:ctrlPr>
            </m:e>
            <m:sub>
              <m:r>
                <m:rPr/>
                <w:rPr>
                  <w:rFonts w:ascii="Cambria Math" w:hAnsi="Cambria Math" w:eastAsia="等线" w:cs="Times New Roman"/>
                  <w:sz w:val="24"/>
                  <w:szCs w:val="24"/>
                </w:rPr>
                <m:t>i,j,t</m:t>
              </m:r>
              <m:ctrlPr>
                <w:rPr>
                  <w:rFonts w:ascii="Cambria Math" w:hAnsi="Cambria Math" w:eastAsia="等线" w:cs="Times New Roman"/>
                  <w:sz w:val="24"/>
                  <w:szCs w:val="24"/>
                </w:rPr>
              </m:ctrlPr>
            </m:sub>
          </m:sSub>
          <m:r>
            <m:rPr>
              <m:sty m:val="p"/>
            </m:rPr>
            <w:rPr>
              <w:rFonts w:ascii="Cambria Math" w:hAnsi="Cambria Math" w:eastAsia="等线" w:cs="Times New Roman"/>
              <w:sz w:val="24"/>
              <w:szCs w:val="24"/>
            </w:rPr>
            <m:t>+</m:t>
          </m:r>
          <m:sSub>
            <m:sSubPr>
              <m:ctrlPr>
                <w:rPr>
                  <w:rFonts w:ascii="Cambria Math" w:hAnsi="Cambria Math" w:eastAsia="等线" w:cs="Times New Roman"/>
                  <w:sz w:val="24"/>
                  <w:szCs w:val="24"/>
                </w:rPr>
              </m:ctrlPr>
            </m:sSubPr>
            <m:e>
              <m:r>
                <m:rPr/>
                <w:rPr>
                  <w:rFonts w:ascii="Cambria Math" w:hAnsi="Cambria Math" w:eastAsia="等线" w:cs="Times New Roman"/>
                  <w:sz w:val="24"/>
                  <w:szCs w:val="24"/>
                </w:rPr>
                <m:t>Controlled</m:t>
              </m:r>
              <m:ctrlPr>
                <w:rPr>
                  <w:rFonts w:ascii="Cambria Math" w:hAnsi="Cambria Math" w:eastAsia="等线" w:cs="Times New Roman"/>
                  <w:sz w:val="24"/>
                  <w:szCs w:val="24"/>
                </w:rPr>
              </m:ctrlPr>
            </m:e>
            <m:sub>
              <m:r>
                <m:rPr/>
                <w:rPr>
                  <w:rFonts w:ascii="Cambria Math" w:hAnsi="Cambria Math" w:eastAsia="等线" w:cs="Times New Roman"/>
                  <w:sz w:val="24"/>
                  <w:szCs w:val="24"/>
                </w:rPr>
                <m:t>j,t</m:t>
              </m:r>
              <m:ctrlPr>
                <w:rPr>
                  <w:rFonts w:ascii="Cambria Math" w:hAnsi="Cambria Math" w:eastAsia="等线" w:cs="Times New Roman"/>
                  <w:sz w:val="24"/>
                  <w:szCs w:val="24"/>
                </w:rPr>
              </m:ctrlPr>
            </m:sub>
          </m:sSub>
          <m:r>
            <m:rPr/>
            <w:rPr>
              <w:rFonts w:ascii="Cambria Math" w:hAnsi="Cambria Math" w:eastAsia="等线" w:cs="Times New Roman"/>
              <w:sz w:val="24"/>
              <w:szCs w:val="24"/>
            </w:rPr>
            <m:t>+Fixed effects</m:t>
          </m:r>
          <m:r>
            <m:rPr>
              <m:sty m:val="p"/>
            </m:rPr>
            <w:rPr>
              <w:rFonts w:ascii="Cambria Math" w:hAnsi="Cambria Math" w:eastAsia="等线" w:cs="Times New Roman"/>
              <w:sz w:val="24"/>
              <w:szCs w:val="24"/>
            </w:rPr>
            <m:t>+</m:t>
          </m:r>
          <m:r>
            <m:rPr/>
            <w:rPr>
              <w:rFonts w:ascii="Cambria Math" w:hAnsi="Cambria Math" w:eastAsia="等线" w:cs="Times New Roman"/>
              <w:sz w:val="24"/>
              <w:szCs w:val="24"/>
            </w:rPr>
            <m:t>ε</m:t>
          </m:r>
        </m:oMath>
      </m:oMathPara>
    </w:p>
    <w:p>
      <w:pPr>
        <w:widowControl/>
        <w:spacing w:after="0" w:line="240" w:lineRule="auto"/>
        <w:jc w:val="left"/>
        <w:rPr>
          <w:rFonts w:ascii="Times" w:hAnsi="Times" w:eastAsia="等线" w:cs="Times New Roman"/>
          <w:sz w:val="24"/>
          <w:szCs w:val="24"/>
        </w:rPr>
      </w:pPr>
    </w:p>
    <w:p>
      <w:pPr>
        <w:widowControl/>
        <w:jc w:val="left"/>
        <w:rPr>
          <w:rFonts w:ascii="Times" w:hAnsi="Times" w:eastAsia="等线" w:cs="Times New Roman"/>
          <w:b/>
          <w:bCs/>
          <w:sz w:val="24"/>
          <w:szCs w:val="24"/>
        </w:rPr>
      </w:pPr>
      <w:r>
        <w:rPr>
          <w:rFonts w:ascii="Times" w:hAnsi="Times" w:eastAsia="等线" w:cs="Times New Roman"/>
          <w:b/>
          <w:bCs/>
          <w:sz w:val="24"/>
          <w:szCs w:val="24"/>
        </w:rPr>
        <w:br w:type="page"/>
      </w:r>
    </w:p>
    <w:p>
      <w:pPr>
        <w:widowControl/>
        <w:numPr>
          <w:ilvl w:val="0"/>
          <w:numId w:val="2"/>
        </w:numPr>
        <w:spacing w:after="0" w:line="240" w:lineRule="auto"/>
        <w:rPr>
          <w:rFonts w:ascii="Times" w:hAnsi="Times" w:eastAsia="等线" w:cs="Times New Roman"/>
          <w:b/>
          <w:bCs/>
          <w:sz w:val="24"/>
          <w:szCs w:val="24"/>
        </w:rPr>
      </w:pPr>
      <w:r>
        <w:rPr>
          <w:rFonts w:ascii="Times" w:hAnsi="Times" w:eastAsia="等线" w:cs="Times New Roman"/>
          <w:b/>
          <w:bCs/>
          <w:sz w:val="24"/>
          <w:szCs w:val="24"/>
        </w:rPr>
        <w:t>Empirical Result</w:t>
      </w:r>
      <w:bookmarkStart w:id="3" w:name="OLE_LINK16"/>
      <w:bookmarkStart w:id="4" w:name="OLE_LINK15"/>
    </w:p>
    <w:p>
      <w:pPr>
        <w:widowControl/>
        <w:numPr>
          <w:numId w:val="0"/>
        </w:numPr>
        <w:spacing w:after="0" w:line="240" w:lineRule="auto"/>
        <w:rPr>
          <w:rFonts w:ascii="Times" w:hAnsi="Times" w:eastAsia="等线" w:cs="Times New Roman"/>
          <w:b/>
          <w:bCs/>
          <w:sz w:val="24"/>
          <w:szCs w:val="24"/>
        </w:rPr>
      </w:pPr>
    </w:p>
    <w:p>
      <w:pPr>
        <w:widowControl/>
        <w:spacing w:after="0" w:line="240" w:lineRule="auto"/>
        <w:rPr>
          <w:rFonts w:ascii="Times" w:hAnsi="Times" w:eastAsia="等线" w:cs="Times New Roman"/>
          <w:sz w:val="20"/>
          <w:szCs w:val="20"/>
        </w:rPr>
      </w:pPr>
      <w:r>
        <w:rPr>
          <w:rFonts w:ascii="Times" w:hAnsi="Times" w:eastAsia="等线" w:cs="Times New Roman"/>
          <w:sz w:val="20"/>
          <w:szCs w:val="20"/>
        </w:rPr>
        <w:t>T</w:t>
      </w:r>
      <w:r>
        <w:rPr>
          <w:rFonts w:hint="eastAsia" w:ascii="Times" w:hAnsi="Times" w:eastAsia="等线" w:cs="Times New Roman"/>
          <w:sz w:val="20"/>
          <w:szCs w:val="20"/>
        </w:rPr>
        <w:t>ab</w:t>
      </w:r>
      <w:r>
        <w:rPr>
          <w:rFonts w:ascii="Times" w:hAnsi="Times" w:eastAsia="等线" w:cs="Times New Roman"/>
          <w:sz w:val="20"/>
          <w:szCs w:val="20"/>
        </w:rPr>
        <w:t>le 1</w:t>
      </w:r>
      <w:bookmarkEnd w:id="3"/>
      <w:bookmarkEnd w:id="4"/>
      <w:r>
        <w:rPr>
          <w:rFonts w:ascii="Times" w:hAnsi="Times" w:eastAsia="等线" w:cs="Times New Roman"/>
          <w:sz w:val="20"/>
          <w:szCs w:val="20"/>
        </w:rPr>
        <w:t xml:space="preserve"> Summary statistics</w:t>
      </w:r>
    </w:p>
    <w:p>
      <w:pPr>
        <w:widowControl/>
        <w:spacing w:after="0" w:line="240" w:lineRule="auto"/>
        <w:rPr>
          <w:rFonts w:ascii="Times" w:hAnsi="Times" w:eastAsia="等线" w:cs="Times New Roman"/>
          <w:sz w:val="20"/>
          <w:szCs w:val="20"/>
        </w:rPr>
      </w:pPr>
      <w:r>
        <w:rPr>
          <w:rFonts w:ascii="Times" w:hAnsi="Times" w:eastAsia="等线" w:cs="Times New Roman"/>
          <w:sz w:val="20"/>
          <w:szCs w:val="20"/>
        </w:rPr>
        <w:t>T</w:t>
      </w:r>
      <w:r>
        <w:rPr>
          <w:rFonts w:hint="eastAsia" w:ascii="Times" w:hAnsi="Times" w:eastAsia="等线" w:cs="Times New Roman"/>
          <w:sz w:val="20"/>
          <w:szCs w:val="20"/>
        </w:rPr>
        <w:t>his</w:t>
      </w:r>
      <w:r>
        <w:rPr>
          <w:rFonts w:ascii="Times" w:hAnsi="Times" w:eastAsia="等线" w:cs="Times New Roman"/>
          <w:sz w:val="20"/>
          <w:szCs w:val="20"/>
        </w:rPr>
        <w:t xml:space="preserve"> table reports the number of our observations, cross-sectional mean and standard deviation for analyst earning per share forecast, analyst’s characteristics and firms’ financial characteristics. Our sample period is 2010-2019 and it has quarterly frequency. Hence, working experience equals to 18 means 4.5 years .</w:t>
      </w:r>
    </w:p>
    <w:tbl>
      <w:tblPr>
        <w:tblStyle w:val="4"/>
        <w:tblW w:w="8908" w:type="dxa"/>
        <w:tblInd w:w="0" w:type="dxa"/>
        <w:tblLayout w:type="fixed"/>
        <w:tblCellMar>
          <w:top w:w="0" w:type="dxa"/>
          <w:left w:w="108" w:type="dxa"/>
          <w:bottom w:w="0" w:type="dxa"/>
          <w:right w:w="108" w:type="dxa"/>
        </w:tblCellMar>
      </w:tblPr>
      <w:tblGrid>
        <w:gridCol w:w="2508"/>
        <w:gridCol w:w="800"/>
        <w:gridCol w:w="1400"/>
        <w:gridCol w:w="1400"/>
        <w:gridCol w:w="1400"/>
        <w:gridCol w:w="1400"/>
      </w:tblGrid>
      <w:tr>
        <w:tblPrEx>
          <w:tblCellMar>
            <w:top w:w="0" w:type="dxa"/>
            <w:left w:w="108" w:type="dxa"/>
            <w:bottom w:w="0" w:type="dxa"/>
            <w:right w:w="108" w:type="dxa"/>
          </w:tblCellMar>
        </w:tblPrEx>
        <w:tc>
          <w:tcPr>
            <w:tcW w:w="2508" w:type="dxa"/>
            <w:tcBorders>
              <w:top w:val="single" w:color="auto" w:sz="4" w:space="0"/>
              <w:left w:val="nil"/>
              <w:bottom w:val="single" w:color="auto" w:sz="4" w:space="0"/>
              <w:right w:val="nil"/>
            </w:tcBorders>
          </w:tcPr>
          <w:p>
            <w:pPr>
              <w:autoSpaceDE w:val="0"/>
              <w:autoSpaceDN w:val="0"/>
              <w:adjustRightInd w:val="0"/>
              <w:rPr>
                <w:rFonts w:ascii="Times" w:hAnsi="Times"/>
                <w:sz w:val="18"/>
                <w:szCs w:val="18"/>
              </w:rPr>
            </w:pPr>
          </w:p>
        </w:tc>
        <w:tc>
          <w:tcPr>
            <w:tcW w:w="800" w:type="dxa"/>
            <w:tcBorders>
              <w:top w:val="single" w:color="auto" w:sz="4" w:space="0"/>
              <w:left w:val="nil"/>
              <w:bottom w:val="single" w:color="auto" w:sz="4" w:space="0"/>
              <w:right w:val="nil"/>
            </w:tcBorders>
          </w:tcPr>
          <w:p>
            <w:pPr>
              <w:autoSpaceDE w:val="0"/>
              <w:autoSpaceDN w:val="0"/>
              <w:adjustRightInd w:val="0"/>
              <w:jc w:val="right"/>
              <w:rPr>
                <w:rFonts w:ascii="Times" w:hAnsi="Times"/>
                <w:sz w:val="18"/>
                <w:szCs w:val="18"/>
              </w:rPr>
            </w:pPr>
            <w:r>
              <w:rPr>
                <w:rFonts w:ascii="Times" w:hAnsi="Times"/>
                <w:sz w:val="18"/>
                <w:szCs w:val="18"/>
              </w:rPr>
              <w:t xml:space="preserve"> Obs</w:t>
            </w:r>
          </w:p>
        </w:tc>
        <w:tc>
          <w:tcPr>
            <w:tcW w:w="1400" w:type="dxa"/>
            <w:tcBorders>
              <w:top w:val="single" w:color="auto" w:sz="4" w:space="0"/>
              <w:left w:val="nil"/>
              <w:bottom w:val="single" w:color="auto" w:sz="4" w:space="0"/>
              <w:right w:val="nil"/>
            </w:tcBorders>
          </w:tcPr>
          <w:p>
            <w:pPr>
              <w:autoSpaceDE w:val="0"/>
              <w:autoSpaceDN w:val="0"/>
              <w:adjustRightInd w:val="0"/>
              <w:jc w:val="right"/>
              <w:rPr>
                <w:rFonts w:ascii="Times" w:hAnsi="Times"/>
                <w:sz w:val="18"/>
                <w:szCs w:val="18"/>
              </w:rPr>
            </w:pPr>
            <w:r>
              <w:rPr>
                <w:rFonts w:ascii="Times" w:hAnsi="Times"/>
                <w:sz w:val="18"/>
                <w:szCs w:val="18"/>
              </w:rPr>
              <w:t xml:space="preserve"> Mean</w:t>
            </w:r>
          </w:p>
        </w:tc>
        <w:tc>
          <w:tcPr>
            <w:tcW w:w="1400" w:type="dxa"/>
            <w:tcBorders>
              <w:top w:val="single" w:color="auto" w:sz="4" w:space="0"/>
              <w:left w:val="nil"/>
              <w:bottom w:val="single" w:color="auto" w:sz="4" w:space="0"/>
              <w:right w:val="nil"/>
            </w:tcBorders>
          </w:tcPr>
          <w:p>
            <w:pPr>
              <w:autoSpaceDE w:val="0"/>
              <w:autoSpaceDN w:val="0"/>
              <w:adjustRightInd w:val="0"/>
              <w:jc w:val="right"/>
              <w:rPr>
                <w:rFonts w:ascii="Times" w:hAnsi="Times"/>
                <w:sz w:val="18"/>
                <w:szCs w:val="18"/>
              </w:rPr>
            </w:pPr>
            <w:r>
              <w:rPr>
                <w:rFonts w:ascii="Times" w:hAnsi="Times"/>
                <w:sz w:val="18"/>
                <w:szCs w:val="18"/>
              </w:rPr>
              <w:t xml:space="preserve"> Std. Dev.</w:t>
            </w:r>
          </w:p>
        </w:tc>
        <w:tc>
          <w:tcPr>
            <w:tcW w:w="1400" w:type="dxa"/>
            <w:tcBorders>
              <w:top w:val="single" w:color="auto" w:sz="4" w:space="0"/>
              <w:left w:val="nil"/>
              <w:bottom w:val="single" w:color="auto" w:sz="4" w:space="0"/>
              <w:right w:val="nil"/>
            </w:tcBorders>
          </w:tcPr>
          <w:p>
            <w:pPr>
              <w:autoSpaceDE w:val="0"/>
              <w:autoSpaceDN w:val="0"/>
              <w:adjustRightInd w:val="0"/>
              <w:jc w:val="right"/>
              <w:rPr>
                <w:rFonts w:ascii="Times" w:hAnsi="Times"/>
                <w:sz w:val="18"/>
                <w:szCs w:val="18"/>
              </w:rPr>
            </w:pPr>
            <w:r>
              <w:rPr>
                <w:rFonts w:ascii="Times" w:hAnsi="Times"/>
                <w:sz w:val="18"/>
                <w:szCs w:val="18"/>
              </w:rPr>
              <w:t xml:space="preserve"> Min</w:t>
            </w:r>
          </w:p>
        </w:tc>
        <w:tc>
          <w:tcPr>
            <w:tcW w:w="1400" w:type="dxa"/>
            <w:tcBorders>
              <w:top w:val="single" w:color="auto" w:sz="4" w:space="0"/>
              <w:left w:val="nil"/>
              <w:bottom w:val="single" w:color="auto" w:sz="4" w:space="0"/>
              <w:right w:val="nil"/>
            </w:tcBorders>
          </w:tcPr>
          <w:p>
            <w:pPr>
              <w:autoSpaceDE w:val="0"/>
              <w:autoSpaceDN w:val="0"/>
              <w:adjustRightInd w:val="0"/>
              <w:jc w:val="right"/>
              <w:rPr>
                <w:rFonts w:ascii="Times" w:hAnsi="Times"/>
                <w:sz w:val="18"/>
                <w:szCs w:val="18"/>
              </w:rPr>
            </w:pPr>
            <w:r>
              <w:rPr>
                <w:rFonts w:ascii="Times" w:hAnsi="Times"/>
                <w:sz w:val="18"/>
                <w:szCs w:val="18"/>
              </w:rPr>
              <w:t xml:space="preserve"> Max</w:t>
            </w:r>
          </w:p>
        </w:tc>
      </w:tr>
      <w:tr>
        <w:tblPrEx>
          <w:tblCellMar>
            <w:top w:w="0" w:type="dxa"/>
            <w:left w:w="108" w:type="dxa"/>
            <w:bottom w:w="0" w:type="dxa"/>
            <w:right w:w="108" w:type="dxa"/>
          </w:tblCellMar>
        </w:tblPrEx>
        <w:tc>
          <w:tcPr>
            <w:tcW w:w="8908" w:type="dxa"/>
            <w:gridSpan w:val="6"/>
            <w:tcBorders>
              <w:top w:val="single" w:color="auto" w:sz="4" w:space="0"/>
              <w:left w:val="nil"/>
              <w:bottom w:val="single" w:color="000000" w:sz="4" w:space="0"/>
              <w:right w:val="nil"/>
            </w:tcBorders>
          </w:tcPr>
          <w:p>
            <w:pPr>
              <w:autoSpaceDE w:val="0"/>
              <w:autoSpaceDN w:val="0"/>
              <w:adjustRightInd w:val="0"/>
              <w:jc w:val="center"/>
              <w:rPr>
                <w:rFonts w:ascii="Times" w:hAnsi="Times"/>
                <w:sz w:val="18"/>
                <w:szCs w:val="18"/>
              </w:rPr>
            </w:pPr>
            <w:r>
              <w:rPr>
                <w:rFonts w:ascii="Times" w:hAnsi="Times"/>
                <w:sz w:val="18"/>
                <w:szCs w:val="18"/>
              </w:rPr>
              <w:t>Dependent Variables</w:t>
            </w:r>
          </w:p>
        </w:tc>
      </w:tr>
      <w:tr>
        <w:tblPrEx>
          <w:tblCellMar>
            <w:top w:w="0" w:type="dxa"/>
            <w:left w:w="108" w:type="dxa"/>
            <w:bottom w:w="0" w:type="dxa"/>
            <w:right w:w="108" w:type="dxa"/>
          </w:tblCellMar>
        </w:tblPrEx>
        <w:tc>
          <w:tcPr>
            <w:tcW w:w="2508" w:type="dxa"/>
            <w:tcBorders>
              <w:top w:val="single" w:color="000000" w:sz="4" w:space="0"/>
              <w:left w:val="nil"/>
              <w:bottom w:val="nil"/>
              <w:right w:val="nil"/>
            </w:tcBorders>
          </w:tcPr>
          <w:p>
            <w:pPr>
              <w:autoSpaceDE w:val="0"/>
              <w:autoSpaceDN w:val="0"/>
              <w:adjustRightInd w:val="0"/>
              <w:rPr>
                <w:rFonts w:ascii="Times" w:hAnsi="Times"/>
                <w:sz w:val="18"/>
                <w:szCs w:val="18"/>
              </w:rPr>
            </w:pPr>
            <w:r>
              <w:rPr>
                <w:rFonts w:ascii="Times" w:hAnsi="Times"/>
                <w:sz w:val="18"/>
                <w:szCs w:val="18"/>
              </w:rPr>
              <w:t xml:space="preserve"> EPS Forecast</w:t>
            </w:r>
          </w:p>
        </w:tc>
        <w:tc>
          <w:tcPr>
            <w:tcW w:w="800" w:type="dxa"/>
            <w:tcBorders>
              <w:top w:val="single" w:color="000000"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761368</w:t>
            </w:r>
          </w:p>
        </w:tc>
        <w:tc>
          <w:tcPr>
            <w:tcW w:w="1400" w:type="dxa"/>
            <w:tcBorders>
              <w:top w:val="single" w:color="000000"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2.655</w:t>
            </w:r>
          </w:p>
        </w:tc>
        <w:tc>
          <w:tcPr>
            <w:tcW w:w="1400" w:type="dxa"/>
            <w:tcBorders>
              <w:top w:val="single" w:color="000000"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2.506</w:t>
            </w:r>
          </w:p>
        </w:tc>
        <w:tc>
          <w:tcPr>
            <w:tcW w:w="1400" w:type="dxa"/>
            <w:tcBorders>
              <w:top w:val="single" w:color="000000"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-.91</w:t>
            </w:r>
          </w:p>
        </w:tc>
        <w:tc>
          <w:tcPr>
            <w:tcW w:w="1400" w:type="dxa"/>
            <w:tcBorders>
              <w:top w:val="single" w:color="000000"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8.809</w:t>
            </w:r>
          </w:p>
        </w:tc>
      </w:tr>
      <w:tr>
        <w:tblPrEx>
          <w:tblCellMar>
            <w:top w:w="0" w:type="dxa"/>
            <w:left w:w="108" w:type="dxa"/>
            <w:bottom w:w="0" w:type="dxa"/>
            <w:right w:w="108" w:type="dxa"/>
          </w:tblCellMar>
        </w:tblPrEx>
        <w:tc>
          <w:tcPr>
            <w:tcW w:w="8908" w:type="dxa"/>
            <w:gridSpan w:val="6"/>
            <w:tcBorders>
              <w:top w:val="single" w:color="auto" w:sz="4" w:space="0"/>
              <w:left w:val="nil"/>
              <w:bottom w:val="single" w:color="auto" w:sz="4" w:space="0"/>
              <w:right w:val="nil"/>
            </w:tcBorders>
            <w:vAlign w:val="center"/>
          </w:tcPr>
          <w:p>
            <w:pPr>
              <w:autoSpaceDE w:val="0"/>
              <w:autoSpaceDN w:val="0"/>
              <w:adjustRightInd w:val="0"/>
              <w:jc w:val="center"/>
              <w:rPr>
                <w:rFonts w:ascii="Times" w:hAnsi="Times"/>
                <w:sz w:val="18"/>
                <w:szCs w:val="18"/>
              </w:rPr>
            </w:pPr>
            <w:r>
              <w:rPr>
                <w:rFonts w:ascii="Times" w:hAnsi="Times"/>
                <w:sz w:val="18"/>
                <w:szCs w:val="18"/>
              </w:rPr>
              <w:t>Independent Variables</w:t>
            </w:r>
          </w:p>
        </w:tc>
      </w:tr>
      <w:tr>
        <w:tblPrEx>
          <w:tblCellMar>
            <w:top w:w="0" w:type="dxa"/>
            <w:left w:w="108" w:type="dxa"/>
            <w:bottom w:w="0" w:type="dxa"/>
            <w:right w:w="108" w:type="dxa"/>
          </w:tblCellMar>
        </w:tblPrEx>
        <w:tc>
          <w:tcPr>
            <w:tcW w:w="2508" w:type="dxa"/>
            <w:tcBorders>
              <w:top w:val="single" w:color="auto" w:sz="4" w:space="0"/>
              <w:left w:val="nil"/>
              <w:bottom w:val="nil"/>
              <w:right w:val="nil"/>
            </w:tcBorders>
          </w:tcPr>
          <w:p>
            <w:pPr>
              <w:autoSpaceDE w:val="0"/>
              <w:autoSpaceDN w:val="0"/>
              <w:adjustRightInd w:val="0"/>
              <w:rPr>
                <w:rFonts w:ascii="Times" w:hAnsi="Times"/>
                <w:sz w:val="18"/>
                <w:szCs w:val="18"/>
              </w:rPr>
            </w:pPr>
            <w:r>
              <w:rPr>
                <w:rFonts w:ascii="Times" w:hAnsi="Times"/>
                <w:sz w:val="18"/>
                <w:szCs w:val="18"/>
              </w:rPr>
              <w:t xml:space="preserve"> Working Experience</w:t>
            </w:r>
          </w:p>
        </w:tc>
        <w:tc>
          <w:tcPr>
            <w:tcW w:w="800" w:type="dxa"/>
            <w:tcBorders>
              <w:top w:val="single" w:color="auto"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761368</w:t>
            </w:r>
          </w:p>
        </w:tc>
        <w:tc>
          <w:tcPr>
            <w:tcW w:w="1400" w:type="dxa"/>
            <w:tcBorders>
              <w:top w:val="single" w:color="auto"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18.288</w:t>
            </w:r>
          </w:p>
        </w:tc>
        <w:tc>
          <w:tcPr>
            <w:tcW w:w="1400" w:type="dxa"/>
            <w:tcBorders>
              <w:top w:val="single" w:color="auto"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11.593</w:t>
            </w:r>
          </w:p>
        </w:tc>
        <w:tc>
          <w:tcPr>
            <w:tcW w:w="1400" w:type="dxa"/>
            <w:tcBorders>
              <w:top w:val="single" w:color="auto"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0</w:t>
            </w:r>
          </w:p>
        </w:tc>
        <w:tc>
          <w:tcPr>
            <w:tcW w:w="1400" w:type="dxa"/>
            <w:tcBorders>
              <w:top w:val="single" w:color="auto" w:sz="4" w:space="0"/>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39</w:t>
            </w:r>
          </w:p>
        </w:tc>
      </w:tr>
      <w:tr>
        <w:tblPrEx>
          <w:tblCellMar>
            <w:top w:w="0" w:type="dxa"/>
            <w:left w:w="108" w:type="dxa"/>
            <w:bottom w:w="0" w:type="dxa"/>
            <w:right w:w="108" w:type="dxa"/>
          </w:tblCellMar>
        </w:tblPrEx>
        <w:tc>
          <w:tcPr>
            <w:tcW w:w="2508" w:type="dxa"/>
            <w:tcBorders>
              <w:top w:val="nil"/>
              <w:left w:val="nil"/>
              <w:bottom w:val="nil"/>
              <w:right w:val="nil"/>
            </w:tcBorders>
          </w:tcPr>
          <w:p>
            <w:pPr>
              <w:autoSpaceDE w:val="0"/>
              <w:autoSpaceDN w:val="0"/>
              <w:adjustRightInd w:val="0"/>
              <w:rPr>
                <w:rFonts w:ascii="Times" w:hAnsi="Times"/>
                <w:sz w:val="18"/>
                <w:szCs w:val="18"/>
              </w:rPr>
            </w:pPr>
            <w:r>
              <w:rPr>
                <w:rFonts w:ascii="Times" w:hAnsi="Times"/>
                <w:sz w:val="18"/>
                <w:szCs w:val="18"/>
              </w:rPr>
              <w:t xml:space="preserve"> Analyze Experience</w:t>
            </w:r>
          </w:p>
        </w:tc>
        <w:tc>
          <w:tcPr>
            <w:tcW w:w="8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761368</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30.223</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10.77</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0</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39</w:t>
            </w:r>
          </w:p>
        </w:tc>
      </w:tr>
      <w:tr>
        <w:tblPrEx>
          <w:tblCellMar>
            <w:top w:w="0" w:type="dxa"/>
            <w:left w:w="108" w:type="dxa"/>
            <w:bottom w:w="0" w:type="dxa"/>
            <w:right w:w="108" w:type="dxa"/>
          </w:tblCellMar>
        </w:tblPrEx>
        <w:tc>
          <w:tcPr>
            <w:tcW w:w="2508" w:type="dxa"/>
            <w:tcBorders>
              <w:top w:val="nil"/>
              <w:left w:val="nil"/>
              <w:bottom w:val="single" w:color="000000" w:sz="4" w:space="0"/>
              <w:right w:val="nil"/>
            </w:tcBorders>
          </w:tcPr>
          <w:p>
            <w:pPr>
              <w:autoSpaceDE w:val="0"/>
              <w:autoSpaceDN w:val="0"/>
              <w:adjustRightInd w:val="0"/>
              <w:rPr>
                <w:rFonts w:ascii="Times" w:hAnsi="Times"/>
                <w:sz w:val="18"/>
                <w:szCs w:val="18"/>
              </w:rPr>
            </w:pPr>
            <w:r>
              <w:rPr>
                <w:rFonts w:ascii="Times" w:hAnsi="Times"/>
                <w:sz w:val="18"/>
                <w:szCs w:val="18"/>
              </w:rPr>
              <w:t xml:space="preserve"> Brokerage Size</w:t>
            </w:r>
          </w:p>
        </w:tc>
        <w:tc>
          <w:tcPr>
            <w:tcW w:w="800" w:type="dxa"/>
            <w:tcBorders>
              <w:top w:val="nil"/>
              <w:left w:val="nil"/>
              <w:bottom w:val="single" w:color="000000" w:sz="4" w:space="0"/>
              <w:right w:val="nil"/>
            </w:tcBorders>
          </w:tcPr>
          <w:p>
            <w:pPr>
              <w:autoSpaceDE w:val="0"/>
              <w:autoSpaceDN w:val="0"/>
              <w:adjustRightInd w:val="0"/>
              <w:jc w:val="right"/>
              <w:rPr>
                <w:rFonts w:ascii="Times" w:hAnsi="Times"/>
                <w:sz w:val="18"/>
                <w:szCs w:val="18"/>
              </w:rPr>
            </w:pPr>
            <w:r>
              <w:rPr>
                <w:rFonts w:ascii="Times" w:hAnsi="Times"/>
                <w:sz w:val="18"/>
                <w:szCs w:val="18"/>
              </w:rPr>
              <w:t>761368</w:t>
            </w:r>
          </w:p>
        </w:tc>
        <w:tc>
          <w:tcPr>
            <w:tcW w:w="1400" w:type="dxa"/>
            <w:tcBorders>
              <w:top w:val="nil"/>
              <w:left w:val="nil"/>
              <w:bottom w:val="single" w:color="000000" w:sz="4" w:space="0"/>
              <w:right w:val="nil"/>
            </w:tcBorders>
          </w:tcPr>
          <w:p>
            <w:pPr>
              <w:autoSpaceDE w:val="0"/>
              <w:autoSpaceDN w:val="0"/>
              <w:adjustRightInd w:val="0"/>
              <w:jc w:val="right"/>
              <w:rPr>
                <w:rFonts w:ascii="Times" w:hAnsi="Times"/>
                <w:sz w:val="18"/>
                <w:szCs w:val="18"/>
              </w:rPr>
            </w:pPr>
            <w:r>
              <w:rPr>
                <w:rFonts w:ascii="Times" w:hAnsi="Times"/>
                <w:sz w:val="18"/>
                <w:szCs w:val="18"/>
              </w:rPr>
              <w:t>23.288</w:t>
            </w:r>
          </w:p>
        </w:tc>
        <w:tc>
          <w:tcPr>
            <w:tcW w:w="1400" w:type="dxa"/>
            <w:tcBorders>
              <w:top w:val="nil"/>
              <w:left w:val="nil"/>
              <w:bottom w:val="single" w:color="000000" w:sz="4" w:space="0"/>
              <w:right w:val="nil"/>
            </w:tcBorders>
          </w:tcPr>
          <w:p>
            <w:pPr>
              <w:autoSpaceDE w:val="0"/>
              <w:autoSpaceDN w:val="0"/>
              <w:adjustRightInd w:val="0"/>
              <w:jc w:val="right"/>
              <w:rPr>
                <w:rFonts w:ascii="Times" w:hAnsi="Times"/>
                <w:sz w:val="18"/>
                <w:szCs w:val="18"/>
              </w:rPr>
            </w:pPr>
            <w:r>
              <w:rPr>
                <w:rFonts w:ascii="Times" w:hAnsi="Times"/>
                <w:sz w:val="18"/>
                <w:szCs w:val="18"/>
              </w:rPr>
              <w:t>11.317</w:t>
            </w:r>
          </w:p>
        </w:tc>
        <w:tc>
          <w:tcPr>
            <w:tcW w:w="1400" w:type="dxa"/>
            <w:tcBorders>
              <w:top w:val="nil"/>
              <w:left w:val="nil"/>
              <w:bottom w:val="single" w:color="000000" w:sz="4" w:space="0"/>
              <w:right w:val="nil"/>
            </w:tcBorders>
          </w:tcPr>
          <w:p>
            <w:pPr>
              <w:autoSpaceDE w:val="0"/>
              <w:autoSpaceDN w:val="0"/>
              <w:adjustRightInd w:val="0"/>
              <w:jc w:val="right"/>
              <w:rPr>
                <w:rFonts w:ascii="Times" w:hAnsi="Times"/>
                <w:sz w:val="18"/>
                <w:szCs w:val="18"/>
              </w:rPr>
            </w:pPr>
            <w:r>
              <w:rPr>
                <w:rFonts w:ascii="Times" w:hAnsi="Times"/>
                <w:sz w:val="18"/>
                <w:szCs w:val="18"/>
              </w:rPr>
              <w:t>1</w:t>
            </w:r>
          </w:p>
        </w:tc>
        <w:tc>
          <w:tcPr>
            <w:tcW w:w="1400" w:type="dxa"/>
            <w:tcBorders>
              <w:top w:val="nil"/>
              <w:left w:val="nil"/>
              <w:bottom w:val="single" w:color="000000" w:sz="4" w:space="0"/>
              <w:right w:val="nil"/>
            </w:tcBorders>
          </w:tcPr>
          <w:p>
            <w:pPr>
              <w:autoSpaceDE w:val="0"/>
              <w:autoSpaceDN w:val="0"/>
              <w:adjustRightInd w:val="0"/>
              <w:jc w:val="right"/>
              <w:rPr>
                <w:rFonts w:ascii="Times" w:hAnsi="Times"/>
                <w:sz w:val="18"/>
                <w:szCs w:val="18"/>
              </w:rPr>
            </w:pPr>
            <w:r>
              <w:rPr>
                <w:rFonts w:ascii="Times" w:hAnsi="Times"/>
                <w:sz w:val="18"/>
                <w:szCs w:val="18"/>
              </w:rPr>
              <w:t>45</w:t>
            </w:r>
          </w:p>
        </w:tc>
      </w:tr>
      <w:tr>
        <w:tblPrEx>
          <w:tblCellMar>
            <w:top w:w="0" w:type="dxa"/>
            <w:left w:w="108" w:type="dxa"/>
            <w:bottom w:w="0" w:type="dxa"/>
            <w:right w:w="108" w:type="dxa"/>
          </w:tblCellMar>
        </w:tblPrEx>
        <w:tc>
          <w:tcPr>
            <w:tcW w:w="8908" w:type="dxa"/>
            <w:gridSpan w:val="6"/>
            <w:tcBorders>
              <w:top w:val="single" w:color="000000" w:sz="4" w:space="0"/>
              <w:left w:val="nil"/>
              <w:bottom w:val="single" w:color="auto" w:sz="4" w:space="0"/>
              <w:right w:val="nil"/>
            </w:tcBorders>
            <w:vAlign w:val="center"/>
          </w:tcPr>
          <w:p>
            <w:pPr>
              <w:autoSpaceDE w:val="0"/>
              <w:autoSpaceDN w:val="0"/>
              <w:adjustRightInd w:val="0"/>
              <w:jc w:val="center"/>
              <w:rPr>
                <w:rFonts w:ascii="Times" w:hAnsi="Times"/>
                <w:sz w:val="18"/>
                <w:szCs w:val="18"/>
              </w:rPr>
            </w:pPr>
            <w:r>
              <w:rPr>
                <w:rFonts w:ascii="Times" w:hAnsi="Times"/>
                <w:sz w:val="18"/>
                <w:szCs w:val="18"/>
              </w:rPr>
              <w:t>Controlled Variables</w:t>
            </w:r>
          </w:p>
        </w:tc>
      </w:tr>
      <w:tr>
        <w:tblPrEx>
          <w:tblCellMar>
            <w:top w:w="0" w:type="dxa"/>
            <w:left w:w="108" w:type="dxa"/>
            <w:bottom w:w="0" w:type="dxa"/>
            <w:right w:w="108" w:type="dxa"/>
          </w:tblCellMar>
        </w:tblPrEx>
        <w:tc>
          <w:tcPr>
            <w:tcW w:w="2508" w:type="dxa"/>
            <w:tcBorders>
              <w:top w:val="nil"/>
              <w:left w:val="nil"/>
              <w:right w:val="nil"/>
            </w:tcBorders>
          </w:tcPr>
          <w:p>
            <w:pPr>
              <w:autoSpaceDE w:val="0"/>
              <w:autoSpaceDN w:val="0"/>
              <w:adjustRightInd w:val="0"/>
              <w:rPr>
                <w:rFonts w:ascii="Times" w:hAnsi="Times"/>
                <w:sz w:val="18"/>
                <w:szCs w:val="18"/>
              </w:rPr>
            </w:pPr>
            <w:r>
              <w:rPr>
                <w:rFonts w:ascii="Times" w:hAnsi="Times"/>
                <w:sz w:val="18"/>
                <w:szCs w:val="18"/>
              </w:rPr>
              <w:t xml:space="preserve"> Stock price</w:t>
            </w:r>
          </w:p>
        </w:tc>
        <w:tc>
          <w:tcPr>
            <w:tcW w:w="800" w:type="dxa"/>
            <w:tcBorders>
              <w:top w:val="nil"/>
              <w:left w:val="nil"/>
              <w:right w:val="nil"/>
            </w:tcBorders>
          </w:tcPr>
          <w:p>
            <w:pPr>
              <w:autoSpaceDE w:val="0"/>
              <w:autoSpaceDN w:val="0"/>
              <w:adjustRightInd w:val="0"/>
              <w:jc w:val="right"/>
              <w:rPr>
                <w:rFonts w:ascii="Times" w:hAnsi="Times"/>
                <w:sz w:val="18"/>
                <w:szCs w:val="18"/>
              </w:rPr>
            </w:pPr>
            <w:r>
              <w:rPr>
                <w:rFonts w:ascii="Times" w:hAnsi="Times"/>
                <w:sz w:val="18"/>
                <w:szCs w:val="18"/>
              </w:rPr>
              <w:t>758348</w:t>
            </w:r>
          </w:p>
        </w:tc>
        <w:tc>
          <w:tcPr>
            <w:tcW w:w="1400" w:type="dxa"/>
            <w:tcBorders>
              <w:top w:val="nil"/>
              <w:left w:val="nil"/>
              <w:right w:val="nil"/>
            </w:tcBorders>
          </w:tcPr>
          <w:p>
            <w:pPr>
              <w:autoSpaceDE w:val="0"/>
              <w:autoSpaceDN w:val="0"/>
              <w:adjustRightInd w:val="0"/>
              <w:jc w:val="right"/>
              <w:rPr>
                <w:rFonts w:ascii="Times" w:hAnsi="Times"/>
                <w:sz w:val="18"/>
                <w:szCs w:val="18"/>
              </w:rPr>
            </w:pPr>
            <w:r>
              <w:rPr>
                <w:rFonts w:ascii="Times" w:hAnsi="Times"/>
                <w:sz w:val="18"/>
                <w:szCs w:val="18"/>
              </w:rPr>
              <w:t>46.939</w:t>
            </w:r>
          </w:p>
        </w:tc>
        <w:tc>
          <w:tcPr>
            <w:tcW w:w="1400" w:type="dxa"/>
            <w:tcBorders>
              <w:top w:val="nil"/>
              <w:left w:val="nil"/>
              <w:right w:val="nil"/>
            </w:tcBorders>
          </w:tcPr>
          <w:p>
            <w:pPr>
              <w:autoSpaceDE w:val="0"/>
              <w:autoSpaceDN w:val="0"/>
              <w:adjustRightInd w:val="0"/>
              <w:jc w:val="right"/>
              <w:rPr>
                <w:rFonts w:ascii="Times" w:hAnsi="Times"/>
                <w:sz w:val="18"/>
                <w:szCs w:val="18"/>
              </w:rPr>
            </w:pPr>
            <w:r>
              <w:rPr>
                <w:rFonts w:ascii="Times" w:hAnsi="Times"/>
                <w:sz w:val="18"/>
                <w:szCs w:val="18"/>
              </w:rPr>
              <w:t>32.496</w:t>
            </w:r>
          </w:p>
        </w:tc>
        <w:tc>
          <w:tcPr>
            <w:tcW w:w="1400" w:type="dxa"/>
            <w:tcBorders>
              <w:top w:val="nil"/>
              <w:left w:val="nil"/>
              <w:right w:val="nil"/>
            </w:tcBorders>
          </w:tcPr>
          <w:p>
            <w:pPr>
              <w:autoSpaceDE w:val="0"/>
              <w:autoSpaceDN w:val="0"/>
              <w:adjustRightInd w:val="0"/>
              <w:jc w:val="right"/>
              <w:rPr>
                <w:rFonts w:ascii="Times" w:hAnsi="Times"/>
                <w:sz w:val="18"/>
                <w:szCs w:val="18"/>
              </w:rPr>
            </w:pPr>
            <w:r>
              <w:rPr>
                <w:rFonts w:ascii="Times" w:hAnsi="Times"/>
                <w:sz w:val="18"/>
                <w:szCs w:val="18"/>
              </w:rPr>
              <w:t>.118</w:t>
            </w:r>
          </w:p>
        </w:tc>
        <w:tc>
          <w:tcPr>
            <w:tcW w:w="1400" w:type="dxa"/>
            <w:tcBorders>
              <w:top w:val="nil"/>
              <w:left w:val="nil"/>
              <w:right w:val="nil"/>
            </w:tcBorders>
          </w:tcPr>
          <w:p>
            <w:pPr>
              <w:autoSpaceDE w:val="0"/>
              <w:autoSpaceDN w:val="0"/>
              <w:adjustRightInd w:val="0"/>
              <w:jc w:val="right"/>
              <w:rPr>
                <w:rFonts w:ascii="Times" w:hAnsi="Times"/>
                <w:sz w:val="18"/>
                <w:szCs w:val="18"/>
              </w:rPr>
            </w:pPr>
            <w:r>
              <w:rPr>
                <w:rFonts w:ascii="Times" w:hAnsi="Times"/>
                <w:sz w:val="18"/>
                <w:szCs w:val="18"/>
              </w:rPr>
              <w:t>106.735</w:t>
            </w:r>
          </w:p>
        </w:tc>
      </w:tr>
      <w:tr>
        <w:tblPrEx>
          <w:tblCellMar>
            <w:top w:w="0" w:type="dxa"/>
            <w:left w:w="108" w:type="dxa"/>
            <w:bottom w:w="0" w:type="dxa"/>
            <w:right w:w="108" w:type="dxa"/>
          </w:tblCellMar>
        </w:tblPrEx>
        <w:tc>
          <w:tcPr>
            <w:tcW w:w="2508" w:type="dxa"/>
            <w:tcBorders>
              <w:top w:val="nil"/>
              <w:left w:val="nil"/>
              <w:bottom w:val="nil"/>
              <w:right w:val="nil"/>
            </w:tcBorders>
          </w:tcPr>
          <w:p>
            <w:pPr>
              <w:autoSpaceDE w:val="0"/>
              <w:autoSpaceDN w:val="0"/>
              <w:adjustRightInd w:val="0"/>
              <w:rPr>
                <w:rFonts w:ascii="Times" w:hAnsi="Times"/>
                <w:sz w:val="18"/>
                <w:szCs w:val="18"/>
              </w:rPr>
            </w:pPr>
            <w:r>
              <w:rPr>
                <w:rFonts w:ascii="Times" w:hAnsi="Times"/>
                <w:sz w:val="18"/>
                <w:szCs w:val="18"/>
              </w:rPr>
              <w:t xml:space="preserve"> Firm Size</w:t>
            </w:r>
          </w:p>
        </w:tc>
        <w:tc>
          <w:tcPr>
            <w:tcW w:w="8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756118</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8.32</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1.598</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.398</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11.135</w:t>
            </w:r>
          </w:p>
        </w:tc>
      </w:tr>
      <w:tr>
        <w:tblPrEx>
          <w:tblCellMar>
            <w:top w:w="0" w:type="dxa"/>
            <w:left w:w="108" w:type="dxa"/>
            <w:bottom w:w="0" w:type="dxa"/>
            <w:right w:w="108" w:type="dxa"/>
          </w:tblCellMar>
        </w:tblPrEx>
        <w:tc>
          <w:tcPr>
            <w:tcW w:w="2508" w:type="dxa"/>
            <w:tcBorders>
              <w:left w:val="nil"/>
              <w:bottom w:val="nil"/>
              <w:right w:val="nil"/>
            </w:tcBorders>
          </w:tcPr>
          <w:p>
            <w:pPr>
              <w:autoSpaceDE w:val="0"/>
              <w:autoSpaceDN w:val="0"/>
              <w:adjustRightInd w:val="0"/>
              <w:rPr>
                <w:rFonts w:ascii="Times" w:hAnsi="Times"/>
                <w:sz w:val="18"/>
                <w:szCs w:val="18"/>
              </w:rPr>
            </w:pPr>
            <w:r>
              <w:rPr>
                <w:rFonts w:ascii="Times" w:hAnsi="Times"/>
                <w:sz w:val="18"/>
                <w:szCs w:val="18"/>
              </w:rPr>
              <w:t xml:space="preserve"> Book/Market ratio</w:t>
            </w:r>
          </w:p>
        </w:tc>
        <w:tc>
          <w:tcPr>
            <w:tcW w:w="800" w:type="dxa"/>
            <w:tcBorders>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590383</w:t>
            </w:r>
          </w:p>
        </w:tc>
        <w:tc>
          <w:tcPr>
            <w:tcW w:w="1400" w:type="dxa"/>
            <w:tcBorders>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.567</w:t>
            </w:r>
          </w:p>
        </w:tc>
        <w:tc>
          <w:tcPr>
            <w:tcW w:w="1400" w:type="dxa"/>
            <w:tcBorders>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.322</w:t>
            </w:r>
          </w:p>
        </w:tc>
        <w:tc>
          <w:tcPr>
            <w:tcW w:w="1400" w:type="dxa"/>
            <w:tcBorders>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0</w:t>
            </w:r>
          </w:p>
        </w:tc>
        <w:tc>
          <w:tcPr>
            <w:tcW w:w="1400" w:type="dxa"/>
            <w:tcBorders>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5.367</w:t>
            </w:r>
          </w:p>
        </w:tc>
      </w:tr>
      <w:tr>
        <w:tblPrEx>
          <w:tblCellMar>
            <w:top w:w="0" w:type="dxa"/>
            <w:left w:w="108" w:type="dxa"/>
            <w:bottom w:w="0" w:type="dxa"/>
            <w:right w:w="108" w:type="dxa"/>
          </w:tblCellMar>
        </w:tblPrEx>
        <w:tc>
          <w:tcPr>
            <w:tcW w:w="2508" w:type="dxa"/>
            <w:tcBorders>
              <w:top w:val="nil"/>
              <w:left w:val="nil"/>
              <w:bottom w:val="nil"/>
              <w:right w:val="nil"/>
            </w:tcBorders>
          </w:tcPr>
          <w:p>
            <w:pPr>
              <w:autoSpaceDE w:val="0"/>
              <w:autoSpaceDN w:val="0"/>
              <w:adjustRightInd w:val="0"/>
              <w:rPr>
                <w:rFonts w:ascii="Times" w:hAnsi="Times"/>
                <w:sz w:val="18"/>
                <w:szCs w:val="18"/>
              </w:rPr>
            </w:pPr>
            <w:r>
              <w:rPr>
                <w:rFonts w:ascii="Times" w:hAnsi="Times"/>
                <w:sz w:val="18"/>
                <w:szCs w:val="18"/>
              </w:rPr>
              <w:t xml:space="preserve"> Debt/Equity Ratio</w:t>
            </w:r>
          </w:p>
        </w:tc>
        <w:tc>
          <w:tcPr>
            <w:tcW w:w="8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513617</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2078.74</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12157.178</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0</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2663032.5</w:t>
            </w:r>
          </w:p>
        </w:tc>
      </w:tr>
      <w:tr>
        <w:tblPrEx>
          <w:tblCellMar>
            <w:top w:w="0" w:type="dxa"/>
            <w:left w:w="108" w:type="dxa"/>
            <w:bottom w:w="0" w:type="dxa"/>
            <w:right w:w="108" w:type="dxa"/>
          </w:tblCellMar>
        </w:tblPrEx>
        <w:tc>
          <w:tcPr>
            <w:tcW w:w="2508" w:type="dxa"/>
            <w:tcBorders>
              <w:top w:val="nil"/>
              <w:left w:val="nil"/>
              <w:bottom w:val="nil"/>
              <w:right w:val="nil"/>
            </w:tcBorders>
          </w:tcPr>
          <w:p>
            <w:pPr>
              <w:autoSpaceDE w:val="0"/>
              <w:autoSpaceDN w:val="0"/>
              <w:adjustRightInd w:val="0"/>
              <w:rPr>
                <w:rFonts w:ascii="Times" w:hAnsi="Times"/>
                <w:sz w:val="18"/>
                <w:szCs w:val="18"/>
              </w:rPr>
            </w:pPr>
            <w:r>
              <w:rPr>
                <w:rFonts w:ascii="Times" w:hAnsi="Times"/>
                <w:sz w:val="18"/>
                <w:szCs w:val="18"/>
              </w:rPr>
              <w:t xml:space="preserve"> Sales/Total asset</w:t>
            </w:r>
          </w:p>
        </w:tc>
        <w:tc>
          <w:tcPr>
            <w:tcW w:w="8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754851</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.185</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.171</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0</w:t>
            </w:r>
          </w:p>
        </w:tc>
        <w:tc>
          <w:tcPr>
            <w:tcW w:w="1400" w:type="dxa"/>
            <w:tcBorders>
              <w:top w:val="nil"/>
              <w:left w:val="nil"/>
              <w:bottom w:val="nil"/>
              <w:right w:val="nil"/>
            </w:tcBorders>
          </w:tcPr>
          <w:p>
            <w:pPr>
              <w:autoSpaceDE w:val="0"/>
              <w:autoSpaceDN w:val="0"/>
              <w:adjustRightInd w:val="0"/>
              <w:jc w:val="right"/>
              <w:rPr>
                <w:rFonts w:ascii="Times" w:hAnsi="Times"/>
                <w:sz w:val="18"/>
                <w:szCs w:val="18"/>
              </w:rPr>
            </w:pPr>
            <w:r>
              <w:rPr>
                <w:rFonts w:ascii="Times" w:hAnsi="Times"/>
                <w:sz w:val="18"/>
                <w:szCs w:val="18"/>
              </w:rPr>
              <w:t>21.847</w:t>
            </w:r>
          </w:p>
        </w:tc>
      </w:tr>
      <w:tr>
        <w:tblPrEx>
          <w:tblCellMar>
            <w:top w:w="0" w:type="dxa"/>
            <w:left w:w="108" w:type="dxa"/>
            <w:bottom w:w="0" w:type="dxa"/>
            <w:right w:w="108" w:type="dxa"/>
          </w:tblCellMar>
        </w:tblPrEx>
        <w:tc>
          <w:tcPr>
            <w:tcW w:w="8908" w:type="dxa"/>
            <w:gridSpan w:val="6"/>
            <w:tcBorders>
              <w:top w:val="single" w:color="auto" w:sz="6" w:space="0"/>
              <w:left w:val="nil"/>
              <w:bottom w:val="nil"/>
              <w:right w:val="nil"/>
            </w:tcBorders>
          </w:tcPr>
          <w:p>
            <w:pPr>
              <w:autoSpaceDE w:val="0"/>
              <w:autoSpaceDN w:val="0"/>
              <w:adjustRightInd w:val="0"/>
              <w:rPr>
                <w:rFonts w:ascii="Times" w:hAnsi="Times"/>
                <w:sz w:val="18"/>
                <w:szCs w:val="18"/>
              </w:rPr>
            </w:pPr>
          </w:p>
        </w:tc>
      </w:tr>
    </w:tbl>
    <w:p>
      <w:pPr>
        <w:widowControl/>
        <w:spacing w:after="0" w:line="240" w:lineRule="auto"/>
        <w:rPr>
          <w:rFonts w:ascii="Times" w:hAnsi="Times" w:eastAsia="等线" w:cs="Times New Roman"/>
          <w:b/>
          <w:bCs/>
          <w:sz w:val="24"/>
          <w:szCs w:val="24"/>
        </w:rPr>
      </w:pPr>
    </w:p>
    <w:p>
      <w:pPr>
        <w:widowControl/>
        <w:spacing w:after="0" w:line="240" w:lineRule="auto"/>
        <w:rPr>
          <w:rFonts w:ascii="Times" w:hAnsi="Times" w:eastAsia="等线" w:cs="Times New Roman"/>
          <w:b/>
          <w:bCs/>
          <w:sz w:val="24"/>
          <w:szCs w:val="24"/>
        </w:rPr>
      </w:pPr>
    </w:p>
    <w:p>
      <w:pPr>
        <w:widowControl/>
        <w:spacing w:after="0" w:line="240" w:lineRule="auto"/>
        <w:rPr>
          <w:rFonts w:ascii="Times" w:hAnsi="Times" w:eastAsia="等线" w:cs="Times New Roman"/>
          <w:b/>
          <w:bCs/>
          <w:sz w:val="24"/>
          <w:szCs w:val="24"/>
        </w:rPr>
      </w:pPr>
    </w:p>
    <w:p>
      <w:pPr>
        <w:widowControl/>
        <w:spacing w:after="0" w:line="240" w:lineRule="auto"/>
        <w:rPr>
          <w:rFonts w:ascii="Times" w:hAnsi="Times" w:eastAsia="等线" w:cs="Times New Roman"/>
          <w:b/>
          <w:bCs/>
          <w:sz w:val="24"/>
          <w:szCs w:val="24"/>
        </w:rPr>
      </w:pPr>
    </w:p>
    <w:p>
      <w:pPr>
        <w:widowControl/>
        <w:jc w:val="left"/>
        <w:rPr>
          <w:rFonts w:ascii="Times" w:hAnsi="Times" w:eastAsia="等线" w:cs="Times New Roman"/>
          <w:b/>
          <w:bCs/>
          <w:sz w:val="24"/>
          <w:szCs w:val="24"/>
        </w:rPr>
      </w:pPr>
      <w:r>
        <w:rPr>
          <w:rFonts w:ascii="Times" w:hAnsi="Times" w:eastAsia="等线" w:cs="Times New Roman"/>
          <w:sz w:val="20"/>
          <w:szCs w:val="20"/>
        </w:rPr>
        <w:t>T</w:t>
      </w:r>
      <w:r>
        <w:rPr>
          <w:rFonts w:hint="eastAsia" w:ascii="Times" w:hAnsi="Times" w:eastAsia="等线" w:cs="Times New Roman"/>
          <w:sz w:val="20"/>
          <w:szCs w:val="20"/>
        </w:rPr>
        <w:t>ab</w:t>
      </w:r>
      <w:r>
        <w:rPr>
          <w:rFonts w:ascii="Times" w:hAnsi="Times" w:eastAsia="等线" w:cs="Times New Roman"/>
          <w:sz w:val="20"/>
          <w:szCs w:val="20"/>
        </w:rPr>
        <w:t xml:space="preserve">le 2 </w:t>
      </w:r>
      <w:r>
        <w:rPr>
          <w:rFonts w:ascii="Times" w:hAnsi="Times" w:eastAsia="等线" w:cs="Times New Roman"/>
          <w:sz w:val="24"/>
          <w:szCs w:val="24"/>
        </w:rPr>
        <w:t>Broker firm size</w:t>
      </w:r>
    </w:p>
    <w:tbl>
      <w:tblPr>
        <w:tblStyle w:val="4"/>
        <w:tblW w:w="5000" w:type="pct"/>
        <w:tblInd w:w="0" w:type="dxa"/>
        <w:tblLayout w:type="autofit"/>
        <w:tblCellMar>
          <w:top w:w="0" w:type="dxa"/>
          <w:left w:w="108" w:type="dxa"/>
          <w:bottom w:w="0" w:type="dxa"/>
          <w:right w:w="108" w:type="dxa"/>
        </w:tblCellMar>
      </w:tblPr>
      <w:tblGrid>
        <w:gridCol w:w="3014"/>
        <w:gridCol w:w="1788"/>
        <w:gridCol w:w="1860"/>
        <w:gridCol w:w="1860"/>
      </w:tblGrid>
      <w:tr>
        <w:tblPrEx>
          <w:tblCellMar>
            <w:top w:w="0" w:type="dxa"/>
            <w:left w:w="108" w:type="dxa"/>
            <w:bottom w:w="0" w:type="dxa"/>
            <w:right w:w="108" w:type="dxa"/>
          </w:tblCellMar>
        </w:tblPrEx>
        <w:tc>
          <w:tcPr>
            <w:tcW w:w="1769"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w:t>
            </w:r>
          </w:p>
        </w:tc>
        <w:tc>
          <w:tcPr>
            <w:tcW w:w="1049"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(1)</w:t>
            </w:r>
          </w:p>
        </w:tc>
        <w:tc>
          <w:tcPr>
            <w:tcW w:w="1091"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(2)</w:t>
            </w:r>
          </w:p>
        </w:tc>
        <w:tc>
          <w:tcPr>
            <w:tcW w:w="1091"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(3)</w:t>
            </w:r>
          </w:p>
        </w:tc>
      </w:tr>
      <w:tr>
        <w:tblPrEx>
          <w:tblCellMar>
            <w:top w:w="0" w:type="dxa"/>
            <w:left w:w="108" w:type="dxa"/>
            <w:bottom w:w="0" w:type="dxa"/>
            <w:right w:w="108" w:type="dxa"/>
          </w:tblCellMar>
        </w:tblPrEx>
        <w:tc>
          <w:tcPr>
            <w:tcW w:w="1769"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w:t>
            </w:r>
          </w:p>
        </w:tc>
        <w:tc>
          <w:tcPr>
            <w:tcW w:w="1049"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c>
          <w:tcPr>
            <w:tcW w:w="1091"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c>
          <w:tcPr>
            <w:tcW w:w="1091"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ISize</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.0503***</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.0571***</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(.0041)</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(.0059)</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B</w:t>
            </w:r>
            <w:r>
              <w:rPr>
                <w:rFonts w:hint="eastAsia" w:ascii="Garamond" w:hAnsi="Garamond"/>
                <w:sz w:val="20"/>
                <w:szCs w:val="20"/>
              </w:rPr>
              <w:t>o</w:t>
            </w:r>
            <w:r>
              <w:rPr>
                <w:rFonts w:ascii="Garamond" w:hAnsi="Garamond"/>
                <w:sz w:val="20"/>
                <w:szCs w:val="20"/>
              </w:rPr>
              <w:t>ok/Market ratio</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-2.4401***</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-2.3671***</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(.4401)</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(.4401)</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Stock price</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.0107**</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.0105**</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(.0047)</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(.0047)</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S</w:t>
            </w:r>
            <w:r>
              <w:rPr>
                <w:rFonts w:hint="eastAsia" w:ascii="Garamond" w:hAnsi="Garamond"/>
                <w:sz w:val="20"/>
                <w:szCs w:val="20"/>
              </w:rPr>
              <w:t>ales</w:t>
            </w:r>
            <w:r>
              <w:rPr>
                <w:rFonts w:ascii="Garamond" w:hAnsi="Garamond"/>
                <w:sz w:val="20"/>
                <w:szCs w:val="20"/>
              </w:rPr>
              <w:t>/Total asset</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5.4527***</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5.4195***</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(.8608)</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(.8607)</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D</w:t>
            </w:r>
            <w:r>
              <w:rPr>
                <w:rFonts w:hint="eastAsia" w:ascii="Garamond" w:hAnsi="Garamond"/>
                <w:sz w:val="20"/>
                <w:szCs w:val="20"/>
              </w:rPr>
              <w:t>eb</w:t>
            </w:r>
            <w:r>
              <w:rPr>
                <w:rFonts w:ascii="Garamond" w:hAnsi="Garamond"/>
                <w:sz w:val="20"/>
                <w:szCs w:val="20"/>
              </w:rPr>
              <w:t>t/E</w:t>
            </w:r>
            <w:r>
              <w:rPr>
                <w:rFonts w:hint="eastAsia" w:ascii="Garamond" w:hAnsi="Garamond"/>
                <w:sz w:val="20"/>
                <w:szCs w:val="20"/>
              </w:rPr>
              <w:t>quity</w:t>
            </w:r>
            <w:r>
              <w:rPr>
                <w:rFonts w:ascii="Garamond" w:hAnsi="Garamond"/>
                <w:sz w:val="20"/>
                <w:szCs w:val="20"/>
              </w:rPr>
              <w:t xml:space="preserve"> Ratio </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Firmsize</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-.4904***</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-.4388**</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(.1823)</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(.1824)</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_cons</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.3258***</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4.0487***</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3.5991**</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(.0283)</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(1.5274)</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(1.5279)</w:t>
            </w:r>
          </w:p>
        </w:tc>
      </w:tr>
      <w:tr>
        <w:tblPrEx>
          <w:tblCellMar>
            <w:top w:w="0" w:type="dxa"/>
            <w:left w:w="108" w:type="dxa"/>
            <w:bottom w:w="0" w:type="dxa"/>
            <w:right w:w="108" w:type="dxa"/>
          </w:tblCellMar>
        </w:tblPrEx>
        <w:tc>
          <w:tcPr>
            <w:tcW w:w="1769"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Observations</w:t>
            </w:r>
          </w:p>
        </w:tc>
        <w:tc>
          <w:tcPr>
            <w:tcW w:w="104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761367</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433972</w:t>
            </w:r>
          </w:p>
        </w:tc>
        <w:tc>
          <w:tcPr>
            <w:tcW w:w="109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433972</w:t>
            </w:r>
          </w:p>
        </w:tc>
      </w:tr>
      <w:tr>
        <w:tblPrEx>
          <w:tblCellMar>
            <w:top w:w="0" w:type="dxa"/>
            <w:left w:w="108" w:type="dxa"/>
            <w:bottom w:w="0" w:type="dxa"/>
            <w:right w:w="108" w:type="dxa"/>
          </w:tblCellMar>
        </w:tblPrEx>
        <w:tc>
          <w:tcPr>
            <w:tcW w:w="1769" w:type="pct"/>
            <w:tcBorders>
              <w:top w:val="nil"/>
              <w:left w:val="nil"/>
              <w:bottom w:val="single" w:color="auto" w:sz="4" w:space="0"/>
              <w:right w:val="nil"/>
            </w:tcBorders>
          </w:tcPr>
          <w:p>
            <w:pPr>
              <w:autoSpaceDE w:val="0"/>
              <w:autoSpaceDN w:val="0"/>
              <w:adjustRightInd w:val="0"/>
              <w:rPr>
                <w:rFonts w:ascii="Garamond" w:hAnsi="Garamond"/>
                <w:sz w:val="20"/>
                <w:szCs w:val="20"/>
              </w:rPr>
            </w:pPr>
            <w:r>
              <w:rPr>
                <w:rFonts w:ascii="Garamond" w:hAnsi="Garamond"/>
                <w:sz w:val="20"/>
                <w:szCs w:val="20"/>
              </w:rPr>
              <w:t xml:space="preserve"> R-squared</w:t>
            </w:r>
          </w:p>
        </w:tc>
        <w:tc>
          <w:tcPr>
            <w:tcW w:w="1049" w:type="pct"/>
            <w:tcBorders>
              <w:top w:val="nil"/>
              <w:left w:val="nil"/>
              <w:bottom w:val="single" w:color="auto" w:sz="4" w:space="0"/>
              <w:right w:val="nil"/>
            </w:tcBorders>
          </w:tcPr>
          <w:p>
            <w:pPr>
              <w:autoSpaceDE w:val="0"/>
              <w:autoSpaceDN w:val="0"/>
              <w:adjustRightInd w:val="0"/>
              <w:jc w:val="center"/>
              <w:rPr>
                <w:rFonts w:ascii="Garamond" w:hAnsi="Garamond"/>
                <w:sz w:val="20"/>
                <w:szCs w:val="20"/>
              </w:rPr>
            </w:pPr>
            <w:r>
              <w:rPr>
                <w:rFonts w:ascii="Garamond" w:hAnsi="Garamond"/>
                <w:sz w:val="20"/>
                <w:szCs w:val="20"/>
              </w:rPr>
              <w:t>.0002</w:t>
            </w:r>
          </w:p>
        </w:tc>
        <w:tc>
          <w:tcPr>
            <w:tcW w:w="1091" w:type="pct"/>
            <w:tcBorders>
              <w:top w:val="nil"/>
              <w:left w:val="nil"/>
              <w:bottom w:val="single" w:color="auto" w:sz="4" w:space="0"/>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1091" w:type="pct"/>
            <w:tcBorders>
              <w:top w:val="nil"/>
              <w:left w:val="nil"/>
              <w:bottom w:val="single" w:color="auto" w:sz="4" w:space="0"/>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r>
    </w:tbl>
    <w:p>
      <w:pPr>
        <w:widowControl/>
        <w:jc w:val="left"/>
        <w:rPr>
          <w:rFonts w:ascii="Times" w:hAnsi="Times" w:eastAsia="等线" w:cs="Times New Roman"/>
          <w:b/>
          <w:bCs/>
          <w:sz w:val="24"/>
          <w:szCs w:val="24"/>
        </w:rPr>
      </w:pPr>
    </w:p>
    <w:p>
      <w:pPr>
        <w:widowControl/>
        <w:jc w:val="left"/>
        <w:rPr>
          <w:rFonts w:ascii="Times" w:hAnsi="Times" w:eastAsia="等线" w:cs="Times New Roman"/>
          <w:sz w:val="20"/>
          <w:szCs w:val="20"/>
        </w:rPr>
      </w:pPr>
      <w:r>
        <w:rPr>
          <w:rFonts w:ascii="Times" w:hAnsi="Times" w:eastAsia="等线" w:cs="Times New Roman"/>
          <w:sz w:val="20"/>
          <w:szCs w:val="20"/>
        </w:rPr>
        <w:br w:type="page"/>
      </w:r>
    </w:p>
    <w:p>
      <w:pPr>
        <w:widowControl/>
        <w:spacing w:after="0" w:line="240" w:lineRule="auto"/>
        <w:rPr>
          <w:rFonts w:ascii="Times" w:hAnsi="Times" w:eastAsia="等线" w:cs="Times New Roman"/>
          <w:b/>
          <w:bCs/>
          <w:sz w:val="24"/>
          <w:szCs w:val="24"/>
        </w:rPr>
      </w:pPr>
      <w:r>
        <w:rPr>
          <w:rFonts w:ascii="Times" w:hAnsi="Times" w:eastAsia="等线" w:cs="Times New Roman"/>
          <w:sz w:val="20"/>
          <w:szCs w:val="20"/>
        </w:rPr>
        <w:t>T</w:t>
      </w:r>
      <w:r>
        <w:rPr>
          <w:rFonts w:hint="eastAsia" w:ascii="Times" w:hAnsi="Times" w:eastAsia="等线" w:cs="Times New Roman"/>
          <w:sz w:val="20"/>
          <w:szCs w:val="20"/>
        </w:rPr>
        <w:t>ab</w:t>
      </w:r>
      <w:r>
        <w:rPr>
          <w:rFonts w:ascii="Times" w:hAnsi="Times" w:eastAsia="等线" w:cs="Times New Roman"/>
          <w:sz w:val="20"/>
          <w:szCs w:val="20"/>
        </w:rPr>
        <w:t xml:space="preserve">le </w:t>
      </w:r>
      <w:r>
        <w:rPr>
          <w:rFonts w:hint="eastAsia" w:ascii="Times" w:hAnsi="Times" w:eastAsia="等线" w:cs="Times New Roman"/>
          <w:sz w:val="20"/>
          <w:szCs w:val="20"/>
        </w:rPr>
        <w:t>3</w:t>
      </w:r>
      <w:r>
        <w:t xml:space="preserve"> Working experience</w:t>
      </w:r>
    </w:p>
    <w:tbl>
      <w:tblPr>
        <w:tblStyle w:val="4"/>
        <w:tblW w:w="5000" w:type="pct"/>
        <w:tblInd w:w="0" w:type="dxa"/>
        <w:tblLayout w:type="autofit"/>
        <w:tblCellMar>
          <w:top w:w="0" w:type="dxa"/>
          <w:left w:w="108" w:type="dxa"/>
          <w:bottom w:w="0" w:type="dxa"/>
          <w:right w:w="108" w:type="dxa"/>
        </w:tblCellMar>
      </w:tblPr>
      <w:tblGrid>
        <w:gridCol w:w="2466"/>
        <w:gridCol w:w="1504"/>
        <w:gridCol w:w="1518"/>
        <w:gridCol w:w="1518"/>
        <w:gridCol w:w="1516"/>
      </w:tblGrid>
      <w:tr>
        <w:tblPrEx>
          <w:tblCellMar>
            <w:top w:w="0" w:type="dxa"/>
            <w:left w:w="108" w:type="dxa"/>
            <w:bottom w:w="0" w:type="dxa"/>
            <w:right w:w="108" w:type="dxa"/>
          </w:tblCellMar>
        </w:tblPrEx>
        <w:tc>
          <w:tcPr>
            <w:tcW w:w="1452"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w:t>
            </w:r>
          </w:p>
        </w:tc>
        <w:tc>
          <w:tcPr>
            <w:tcW w:w="861"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(1)</w:t>
            </w:r>
          </w:p>
        </w:tc>
        <w:tc>
          <w:tcPr>
            <w:tcW w:w="896"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(2)</w:t>
            </w:r>
          </w:p>
        </w:tc>
        <w:tc>
          <w:tcPr>
            <w:tcW w:w="896"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(3)</w:t>
            </w:r>
          </w:p>
        </w:tc>
        <w:tc>
          <w:tcPr>
            <w:tcW w:w="896"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(4)</w:t>
            </w:r>
          </w:p>
        </w:tc>
      </w:tr>
      <w:tr>
        <w:tblPrEx>
          <w:tblCellMar>
            <w:top w:w="0" w:type="dxa"/>
            <w:left w:w="108" w:type="dxa"/>
            <w:bottom w:w="0" w:type="dxa"/>
            <w:right w:w="108" w:type="dxa"/>
          </w:tblCellMar>
        </w:tblPrEx>
        <w:tc>
          <w:tcPr>
            <w:tcW w:w="1452"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w:t>
            </w:r>
          </w:p>
        </w:tc>
        <w:tc>
          <w:tcPr>
            <w:tcW w:w="861"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c>
          <w:tcPr>
            <w:tcW w:w="896"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c>
          <w:tcPr>
            <w:tcW w:w="896"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c>
          <w:tcPr>
            <w:tcW w:w="896"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IW</w:t>
            </w:r>
            <w:r>
              <w:rPr>
                <w:rFonts w:hint="eastAsia" w:ascii="Garamond" w:hAnsi="Garamond"/>
                <w:sz w:val="20"/>
                <w:szCs w:val="20"/>
              </w:rPr>
              <w:t>orking</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.0416***</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.048***</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.2075***</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(.0038)</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(.0054)</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(.0369)</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B</w:t>
            </w:r>
            <w:r>
              <w:rPr>
                <w:rFonts w:hint="eastAsia" w:ascii="Garamond" w:hAnsi="Garamond"/>
                <w:sz w:val="20"/>
                <w:szCs w:val="20"/>
              </w:rPr>
              <w:t>o</w:t>
            </w:r>
            <w:r>
              <w:rPr>
                <w:rFonts w:ascii="Garamond" w:hAnsi="Garamond"/>
                <w:sz w:val="20"/>
                <w:szCs w:val="20"/>
              </w:rPr>
              <w:t>ok/Market ratio</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-2.4547***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-2.3755***</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-2.4267***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(.4398)</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(.4399)</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(.4423)</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Stock price</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.0113**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.0118**</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.015***</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S</w:t>
            </w:r>
            <w:r>
              <w:rPr>
                <w:rFonts w:hint="eastAsia" w:ascii="Garamond" w:hAnsi="Garamond"/>
                <w:sz w:val="20"/>
                <w:szCs w:val="20"/>
              </w:rPr>
              <w:t>ales</w:t>
            </w:r>
            <w:r>
              <w:rPr>
                <w:rFonts w:ascii="Garamond" w:hAnsi="Garamond"/>
                <w:sz w:val="20"/>
                <w:szCs w:val="20"/>
              </w:rPr>
              <w:t>/Total asset</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5.3745***</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5.2953***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5.3011***</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(.8603)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(.8602)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(.8607)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D</w:t>
            </w:r>
            <w:r>
              <w:rPr>
                <w:rFonts w:hint="eastAsia" w:ascii="Garamond" w:hAnsi="Garamond"/>
                <w:sz w:val="20"/>
                <w:szCs w:val="20"/>
              </w:rPr>
              <w:t>eb</w:t>
            </w:r>
            <w:r>
              <w:rPr>
                <w:rFonts w:ascii="Garamond" w:hAnsi="Garamond"/>
                <w:sz w:val="20"/>
                <w:szCs w:val="20"/>
              </w:rPr>
              <w:t>t/E</w:t>
            </w:r>
            <w:r>
              <w:rPr>
                <w:rFonts w:hint="eastAsia" w:ascii="Garamond" w:hAnsi="Garamond"/>
                <w:sz w:val="20"/>
                <w:szCs w:val="20"/>
              </w:rPr>
              <w:t>quity</w:t>
            </w:r>
            <w:r>
              <w:rPr>
                <w:rFonts w:ascii="Garamond" w:hAnsi="Garamond"/>
                <w:sz w:val="20"/>
                <w:szCs w:val="20"/>
              </w:rPr>
              <w:t xml:space="preserve"> Ratio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Firmsize</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-.5081***</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-.4764***</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-.5427***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(.1822)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(.1822)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(.1825)</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w:t>
            </w:r>
            <w:r>
              <w:rPr>
                <w:rFonts w:hint="eastAsia" w:ascii="Garamond" w:hAnsi="Garamond"/>
                <w:sz w:val="20"/>
                <w:szCs w:val="20"/>
              </w:rPr>
              <w:t>orking</w:t>
            </w:r>
            <w:r>
              <w:rPr>
                <w:rFonts w:ascii="Garamond" w:hAnsi="Garamond"/>
                <w:sz w:val="20"/>
                <w:szCs w:val="20"/>
              </w:rPr>
              <w:t xml:space="preserve"> * B/M</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-.0251</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(.0172)</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w:t>
            </w:r>
            <w:r>
              <w:rPr>
                <w:rFonts w:hint="eastAsia" w:ascii="Garamond" w:hAnsi="Garamond"/>
                <w:sz w:val="20"/>
                <w:szCs w:val="20"/>
              </w:rPr>
              <w:t>orking</w:t>
            </w:r>
            <w:r>
              <w:rPr>
                <w:rFonts w:ascii="Garamond" w:hAnsi="Garamond"/>
                <w:sz w:val="20"/>
                <w:szCs w:val="20"/>
              </w:rPr>
              <w:t xml:space="preserve"> * Stock price</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(.0002)</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w:t>
            </w:r>
            <w:r>
              <w:rPr>
                <w:rFonts w:hint="eastAsia" w:ascii="Garamond" w:hAnsi="Garamond"/>
                <w:sz w:val="20"/>
                <w:szCs w:val="20"/>
              </w:rPr>
              <w:t>orking*</w:t>
            </w:r>
            <w:r>
              <w:rPr>
                <w:rFonts w:ascii="Garamond" w:hAnsi="Garamond"/>
                <w:sz w:val="20"/>
                <w:szCs w:val="20"/>
              </w:rPr>
              <w:t xml:space="preserve"> S</w:t>
            </w:r>
            <w:r>
              <w:rPr>
                <w:rFonts w:hint="eastAsia" w:ascii="Garamond" w:hAnsi="Garamond"/>
                <w:sz w:val="20"/>
                <w:szCs w:val="20"/>
              </w:rPr>
              <w:t>ales</w:t>
            </w:r>
            <w:r>
              <w:rPr>
                <w:rFonts w:ascii="Garamond" w:hAnsi="Garamond"/>
                <w:sz w:val="20"/>
                <w:szCs w:val="20"/>
              </w:rPr>
              <w:t>/Total asset</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.0518</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(.0329)</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w:t>
            </w:r>
            <w:r>
              <w:rPr>
                <w:rFonts w:hint="eastAsia" w:ascii="Garamond" w:hAnsi="Garamond"/>
                <w:sz w:val="20"/>
                <w:szCs w:val="20"/>
              </w:rPr>
              <w:t>orking</w:t>
            </w:r>
            <w:r>
              <w:rPr>
                <w:rFonts w:ascii="Garamond" w:hAnsi="Garamond"/>
                <w:sz w:val="20"/>
                <w:szCs w:val="20"/>
              </w:rPr>
              <w:t>* D</w:t>
            </w:r>
            <w:r>
              <w:rPr>
                <w:rFonts w:hint="eastAsia" w:ascii="Garamond" w:hAnsi="Garamond"/>
                <w:sz w:val="20"/>
                <w:szCs w:val="20"/>
              </w:rPr>
              <w:t>eb</w:t>
            </w:r>
            <w:r>
              <w:rPr>
                <w:rFonts w:ascii="Garamond" w:hAnsi="Garamond"/>
                <w:sz w:val="20"/>
                <w:szCs w:val="20"/>
              </w:rPr>
              <w:t>t/E</w:t>
            </w:r>
            <w:r>
              <w:rPr>
                <w:rFonts w:hint="eastAsia" w:ascii="Garamond" w:hAnsi="Garamond"/>
                <w:sz w:val="20"/>
                <w:szCs w:val="20"/>
              </w:rPr>
              <w:t>quity</w:t>
            </w: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.0001**</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w:t>
            </w:r>
            <w:r>
              <w:rPr>
                <w:rFonts w:hint="eastAsia" w:ascii="Garamond" w:hAnsi="Garamond"/>
                <w:sz w:val="20"/>
                <w:szCs w:val="20"/>
              </w:rPr>
              <w:t>orking</w:t>
            </w:r>
            <w:r>
              <w:rPr>
                <w:rFonts w:ascii="Garamond" w:hAnsi="Garamond"/>
                <w:sz w:val="20"/>
                <w:szCs w:val="20"/>
              </w:rPr>
              <w:t xml:space="preserve"> * Firmsize</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-.0248***</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(.0044)</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_cons</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.3271***</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4.1857***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3.8785**</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4.2919***</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(.0283)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(1.5264)</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(1.5267)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(1.5287)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Observations</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761367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433972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433972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433972</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R-squared</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.0006</w:t>
            </w:r>
          </w:p>
        </w:tc>
      </w:tr>
      <w:tr>
        <w:tblPrEx>
          <w:tblCellMar>
            <w:top w:w="0" w:type="dxa"/>
            <w:left w:w="108" w:type="dxa"/>
            <w:bottom w:w="0" w:type="dxa"/>
            <w:right w:w="108" w:type="dxa"/>
          </w:tblCellMar>
        </w:tblPrEx>
        <w:tc>
          <w:tcPr>
            <w:tcW w:w="5000" w:type="pct"/>
            <w:gridSpan w:val="5"/>
            <w:tcBorders>
              <w:top w:val="single" w:color="auto" w:sz="6" w:space="0"/>
              <w:left w:val="nil"/>
              <w:bottom w:val="nil"/>
              <w:right w:val="nil"/>
            </w:tcBorders>
          </w:tcPr>
          <w:p>
            <w:pPr>
              <w:autoSpaceDE w:val="0"/>
              <w:autoSpaceDN w:val="0"/>
              <w:adjustRightInd w:val="0"/>
              <w:rPr>
                <w:rFonts w:ascii="Garamond" w:hAnsi="Garamond"/>
                <w:i/>
                <w:iCs/>
                <w:sz w:val="20"/>
                <w:szCs w:val="20"/>
              </w:rPr>
            </w:pPr>
            <w:r>
              <w:rPr>
                <w:rFonts w:ascii="Garamond" w:hAnsi="Garamond"/>
                <w:i/>
                <w:iCs/>
                <w:sz w:val="20"/>
                <w:szCs w:val="20"/>
              </w:rPr>
              <w:t>Standard errors are in parentheses</w:t>
            </w:r>
          </w:p>
        </w:tc>
      </w:tr>
      <w:tr>
        <w:tblPrEx>
          <w:tblCellMar>
            <w:top w:w="0" w:type="dxa"/>
            <w:left w:w="108" w:type="dxa"/>
            <w:bottom w:w="0" w:type="dxa"/>
            <w:right w:w="108" w:type="dxa"/>
          </w:tblCellMar>
        </w:tblPrEx>
        <w:tc>
          <w:tcPr>
            <w:tcW w:w="5000" w:type="pct"/>
            <w:gridSpan w:val="5"/>
            <w:tcBorders>
              <w:top w:val="nil"/>
              <w:left w:val="nil"/>
              <w:bottom w:val="nil"/>
              <w:right w:val="nil"/>
            </w:tcBorders>
          </w:tcPr>
          <w:p>
            <w:pPr>
              <w:autoSpaceDE w:val="0"/>
              <w:autoSpaceDN w:val="0"/>
              <w:adjustRightInd w:val="0"/>
              <w:rPr>
                <w:rFonts w:ascii="Garamond" w:hAnsi="Garamond"/>
                <w:i/>
                <w:iCs/>
                <w:sz w:val="20"/>
                <w:szCs w:val="20"/>
              </w:rPr>
            </w:pPr>
            <w:r>
              <w:rPr>
                <w:rFonts w:ascii="Garamond" w:hAnsi="Garamond"/>
                <w:i/>
                <w:iCs/>
                <w:sz w:val="20"/>
                <w:szCs w:val="20"/>
              </w:rPr>
              <w:t xml:space="preserve">*** p&lt;.01, ** p&lt;.05, * p&lt;.1 </w:t>
            </w:r>
          </w:p>
        </w:tc>
      </w:tr>
    </w:tbl>
    <w:p>
      <w:pPr>
        <w:widowControl/>
        <w:jc w:val="left"/>
      </w:pPr>
      <w:r>
        <w:br w:type="page"/>
      </w:r>
    </w:p>
    <w:p>
      <w:pPr>
        <w:widowControl/>
        <w:jc w:val="left"/>
      </w:pPr>
      <w:r>
        <w:rPr>
          <w:rFonts w:hint="eastAsia"/>
        </w:rPr>
        <w:t>Table</w:t>
      </w:r>
      <w:r>
        <w:t xml:space="preserve"> 4 Analyst experience</w:t>
      </w:r>
    </w:p>
    <w:tbl>
      <w:tblPr>
        <w:tblStyle w:val="4"/>
        <w:tblW w:w="5000" w:type="pct"/>
        <w:tblInd w:w="0" w:type="dxa"/>
        <w:tblLayout w:type="autofit"/>
        <w:tblCellMar>
          <w:top w:w="0" w:type="dxa"/>
          <w:left w:w="108" w:type="dxa"/>
          <w:bottom w:w="0" w:type="dxa"/>
          <w:right w:w="108" w:type="dxa"/>
        </w:tblCellMar>
      </w:tblPr>
      <w:tblGrid>
        <w:gridCol w:w="2466"/>
        <w:gridCol w:w="1504"/>
        <w:gridCol w:w="1518"/>
        <w:gridCol w:w="1518"/>
        <w:gridCol w:w="1516"/>
      </w:tblGrid>
      <w:tr>
        <w:tblPrEx>
          <w:tblCellMar>
            <w:top w:w="0" w:type="dxa"/>
            <w:left w:w="108" w:type="dxa"/>
            <w:bottom w:w="0" w:type="dxa"/>
            <w:right w:w="108" w:type="dxa"/>
          </w:tblCellMar>
        </w:tblPrEx>
        <w:tc>
          <w:tcPr>
            <w:tcW w:w="1452"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w:t>
            </w:r>
          </w:p>
        </w:tc>
        <w:tc>
          <w:tcPr>
            <w:tcW w:w="861"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(1)</w:t>
            </w:r>
          </w:p>
        </w:tc>
        <w:tc>
          <w:tcPr>
            <w:tcW w:w="896"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(2)</w:t>
            </w:r>
          </w:p>
        </w:tc>
        <w:tc>
          <w:tcPr>
            <w:tcW w:w="896"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(3)</w:t>
            </w:r>
          </w:p>
        </w:tc>
        <w:tc>
          <w:tcPr>
            <w:tcW w:w="896"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(4)</w:t>
            </w:r>
          </w:p>
        </w:tc>
      </w:tr>
      <w:tr>
        <w:tblPrEx>
          <w:tblCellMar>
            <w:top w:w="0" w:type="dxa"/>
            <w:left w:w="108" w:type="dxa"/>
            <w:bottom w:w="0" w:type="dxa"/>
            <w:right w:w="108" w:type="dxa"/>
          </w:tblCellMar>
        </w:tblPrEx>
        <w:tc>
          <w:tcPr>
            <w:tcW w:w="1452"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w:t>
            </w:r>
          </w:p>
        </w:tc>
        <w:tc>
          <w:tcPr>
            <w:tcW w:w="861"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c>
          <w:tcPr>
            <w:tcW w:w="896"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c>
          <w:tcPr>
            <w:tcW w:w="896"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c>
          <w:tcPr>
            <w:tcW w:w="896"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D</w:t>
            </w:r>
            <w:r>
              <w:rPr>
                <w:rFonts w:hint="eastAsia" w:ascii="Garamond" w:hAnsi="Garamond"/>
                <w:sz w:val="20"/>
                <w:szCs w:val="20"/>
              </w:rPr>
              <w:t>ispersion</w:t>
            </w:r>
            <w:r>
              <w:rPr>
                <w:rFonts w:ascii="Garamond" w:hAnsi="Garamond"/>
                <w:sz w:val="20"/>
                <w:szCs w:val="20"/>
              </w:rPr>
              <w:t>_EPS</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I</w:t>
            </w:r>
            <w:r>
              <w:rPr>
                <w:rFonts w:hint="eastAsia" w:ascii="Garamond" w:hAnsi="Garamond"/>
                <w:sz w:val="20"/>
                <w:szCs w:val="20"/>
              </w:rPr>
              <w:t>Analyst</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.0093**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.0176***</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-.0016</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(.0038)</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(.0054)</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(.006)</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B</w:t>
            </w:r>
            <w:r>
              <w:rPr>
                <w:rFonts w:hint="eastAsia" w:ascii="Garamond" w:hAnsi="Garamond"/>
                <w:sz w:val="20"/>
                <w:szCs w:val="20"/>
              </w:rPr>
              <w:t>o</w:t>
            </w:r>
            <w:r>
              <w:rPr>
                <w:rFonts w:ascii="Garamond" w:hAnsi="Garamond"/>
                <w:sz w:val="20"/>
                <w:szCs w:val="20"/>
              </w:rPr>
              <w:t>ok/Market ratio</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-2.4401***</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-2.4342***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-2.3211***</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(.4401)</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(.4401)</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(.4422)</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Stock price</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.0107**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.0106**</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.0135***</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(.0047)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S</w:t>
            </w:r>
            <w:r>
              <w:rPr>
                <w:rFonts w:hint="eastAsia" w:ascii="Garamond" w:hAnsi="Garamond"/>
                <w:sz w:val="20"/>
                <w:szCs w:val="20"/>
              </w:rPr>
              <w:t>ales</w:t>
            </w:r>
            <w:r>
              <w:rPr>
                <w:rFonts w:ascii="Garamond" w:hAnsi="Garamond"/>
                <w:sz w:val="20"/>
                <w:szCs w:val="20"/>
              </w:rPr>
              <w:t>/Total asset</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5.4527***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5.4488***</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5.5277***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(.8608)</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(.8608)</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(.8607)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D</w:t>
            </w:r>
            <w:r>
              <w:rPr>
                <w:rFonts w:hint="eastAsia" w:ascii="Garamond" w:hAnsi="Garamond"/>
                <w:sz w:val="20"/>
                <w:szCs w:val="20"/>
              </w:rPr>
              <w:t>eb</w:t>
            </w:r>
            <w:r>
              <w:rPr>
                <w:rFonts w:ascii="Garamond" w:hAnsi="Garamond"/>
                <w:sz w:val="20"/>
                <w:szCs w:val="20"/>
              </w:rPr>
              <w:t>t/E</w:t>
            </w:r>
            <w:r>
              <w:rPr>
                <w:rFonts w:hint="eastAsia" w:ascii="Garamond" w:hAnsi="Garamond"/>
                <w:sz w:val="20"/>
                <w:szCs w:val="20"/>
              </w:rPr>
              <w:t>quity</w:t>
            </w:r>
            <w:r>
              <w:rPr>
                <w:rFonts w:ascii="Garamond" w:hAnsi="Garamond"/>
                <w:sz w:val="20"/>
                <w:szCs w:val="20"/>
              </w:rPr>
              <w:t xml:space="preserve"> Ratio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-.0002</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Firmsize</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-.4904***</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-.4907***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-.4924***</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(.1823)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(.1823)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(.1825)</w:t>
            </w:r>
          </w:p>
        </w:tc>
      </w:tr>
      <w:tr>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 xml:space="preserve"> * B/M</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.0098</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(.0161)</w:t>
            </w:r>
          </w:p>
        </w:tc>
      </w:tr>
      <w:tr>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 xml:space="preserve"> * Stock price</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.0006***</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(.0002)</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 *</w:t>
            </w:r>
            <w:r>
              <w:rPr>
                <w:rFonts w:ascii="Garamond" w:hAnsi="Garamond"/>
                <w:sz w:val="20"/>
                <w:szCs w:val="20"/>
              </w:rPr>
              <w:t xml:space="preserve"> S</w:t>
            </w:r>
            <w:r>
              <w:rPr>
                <w:rFonts w:hint="eastAsia" w:ascii="Garamond" w:hAnsi="Garamond"/>
                <w:sz w:val="20"/>
                <w:szCs w:val="20"/>
              </w:rPr>
              <w:t>ales</w:t>
            </w:r>
            <w:r>
              <w:rPr>
                <w:rFonts w:ascii="Garamond" w:hAnsi="Garamond"/>
                <w:sz w:val="20"/>
                <w:szCs w:val="20"/>
              </w:rPr>
              <w:t>/Total asset</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.1287***</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(.03)</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 xml:space="preserve"> * D</w:t>
            </w:r>
            <w:r>
              <w:rPr>
                <w:rFonts w:hint="eastAsia" w:ascii="Garamond" w:hAnsi="Garamond"/>
                <w:sz w:val="20"/>
                <w:szCs w:val="20"/>
              </w:rPr>
              <w:t>eb</w:t>
            </w:r>
            <w:r>
              <w:rPr>
                <w:rFonts w:ascii="Garamond" w:hAnsi="Garamond"/>
                <w:sz w:val="20"/>
                <w:szCs w:val="20"/>
              </w:rPr>
              <w:t>t/E</w:t>
            </w:r>
            <w:r>
              <w:rPr>
                <w:rFonts w:hint="eastAsia" w:ascii="Garamond" w:hAnsi="Garamond"/>
                <w:sz w:val="20"/>
                <w:szCs w:val="20"/>
              </w:rPr>
              <w:t>quity</w:t>
            </w: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.0001</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 xml:space="preserve"> * Firmsize</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-.0023</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(.0021)</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_cons</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.3272***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4.0487***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4.0523***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3.8475**</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(.0283)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(1.5274)</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(1.5274)</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(1.528)</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Observations</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761367</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433972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433972</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433972</w:t>
            </w:r>
          </w:p>
        </w:tc>
      </w:tr>
      <w:tr>
        <w:tblPrEx>
          <w:tblCellMar>
            <w:top w:w="0" w:type="dxa"/>
            <w:left w:w="108" w:type="dxa"/>
            <w:bottom w:w="0" w:type="dxa"/>
            <w:right w:w="108" w:type="dxa"/>
          </w:tblCellMar>
        </w:tblPrEx>
        <w:tc>
          <w:tcPr>
            <w:tcW w:w="1452"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R-squared</w:t>
            </w:r>
          </w:p>
        </w:tc>
        <w:tc>
          <w:tcPr>
            <w:tcW w:w="86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896"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.0005</w:t>
            </w:r>
          </w:p>
        </w:tc>
      </w:tr>
      <w:tr>
        <w:tblPrEx>
          <w:tblCellMar>
            <w:top w:w="0" w:type="dxa"/>
            <w:left w:w="108" w:type="dxa"/>
            <w:bottom w:w="0" w:type="dxa"/>
            <w:right w:w="108" w:type="dxa"/>
          </w:tblCellMar>
        </w:tblPrEx>
        <w:tc>
          <w:tcPr>
            <w:tcW w:w="5000" w:type="pct"/>
            <w:gridSpan w:val="5"/>
            <w:tcBorders>
              <w:top w:val="single" w:color="auto" w:sz="6" w:space="0"/>
              <w:left w:val="nil"/>
              <w:bottom w:val="nil"/>
              <w:right w:val="nil"/>
            </w:tcBorders>
          </w:tcPr>
          <w:p>
            <w:pPr>
              <w:autoSpaceDE w:val="0"/>
              <w:autoSpaceDN w:val="0"/>
              <w:adjustRightInd w:val="0"/>
              <w:rPr>
                <w:rFonts w:ascii="Garamond" w:hAnsi="Garamond"/>
                <w:i/>
                <w:iCs/>
                <w:sz w:val="20"/>
                <w:szCs w:val="20"/>
              </w:rPr>
            </w:pPr>
            <w:r>
              <w:rPr>
                <w:rFonts w:ascii="Garamond" w:hAnsi="Garamond"/>
                <w:i/>
                <w:iCs/>
                <w:sz w:val="20"/>
                <w:szCs w:val="20"/>
              </w:rPr>
              <w:t>Standard errors are in parentheses</w:t>
            </w:r>
          </w:p>
        </w:tc>
      </w:tr>
      <w:tr>
        <w:tblPrEx>
          <w:tblCellMar>
            <w:top w:w="0" w:type="dxa"/>
            <w:left w:w="108" w:type="dxa"/>
            <w:bottom w:w="0" w:type="dxa"/>
            <w:right w:w="108" w:type="dxa"/>
          </w:tblCellMar>
        </w:tblPrEx>
        <w:tc>
          <w:tcPr>
            <w:tcW w:w="5000" w:type="pct"/>
            <w:gridSpan w:val="5"/>
            <w:tcBorders>
              <w:top w:val="nil"/>
              <w:left w:val="nil"/>
              <w:bottom w:val="nil"/>
              <w:right w:val="nil"/>
            </w:tcBorders>
          </w:tcPr>
          <w:p>
            <w:pPr>
              <w:autoSpaceDE w:val="0"/>
              <w:autoSpaceDN w:val="0"/>
              <w:adjustRightInd w:val="0"/>
              <w:rPr>
                <w:rFonts w:ascii="Garamond" w:hAnsi="Garamond"/>
                <w:i/>
                <w:iCs/>
                <w:sz w:val="20"/>
                <w:szCs w:val="20"/>
              </w:rPr>
            </w:pPr>
            <w:r>
              <w:rPr>
                <w:rFonts w:ascii="Garamond" w:hAnsi="Garamond"/>
                <w:i/>
                <w:iCs/>
                <w:sz w:val="20"/>
                <w:szCs w:val="20"/>
              </w:rPr>
              <w:t xml:space="preserve">*** p&lt;.01, ** p&lt;.05, * p&lt;.1 </w:t>
            </w:r>
          </w:p>
        </w:tc>
      </w:tr>
    </w:tbl>
    <w:p>
      <w:r>
        <w:br w:type="page"/>
      </w:r>
    </w:p>
    <w:p>
      <w:pPr>
        <w:widowControl/>
        <w:spacing w:after="0" w:line="480" w:lineRule="auto"/>
        <w:ind w:firstLine="720"/>
        <w:rPr>
          <w:rFonts w:eastAsia="等线" w:cs="Times New Roman"/>
          <w:sz w:val="24"/>
          <w:szCs w:val="24"/>
        </w:rPr>
      </w:pPr>
      <w:r>
        <w:rPr>
          <w:rFonts w:eastAsia="等线" w:cs="Times New Roman"/>
          <w:sz w:val="24"/>
          <w:szCs w:val="24"/>
        </w:rPr>
        <w:t>In table 2, we explore the effect of broker firm size on analyst forecast dispersion and test for H1. We start our analysist by running univariate regression. We find that the Isize term has positive and significant coefficient in regression 1</w:t>
      </w:r>
      <w:r>
        <w:rPr>
          <w:rFonts w:hint="eastAsia" w:eastAsia="等线" w:cs="Times New Roman"/>
          <w:sz w:val="24"/>
          <w:szCs w:val="24"/>
        </w:rPr>
        <w:t>,</w:t>
      </w:r>
      <w:r>
        <w:rPr>
          <w:rFonts w:eastAsia="等线" w:cs="Times New Roman"/>
          <w:sz w:val="24"/>
          <w:szCs w:val="24"/>
        </w:rPr>
        <w:t xml:space="preserve"> and this result testify H1 that </w:t>
      </w:r>
      <w:r>
        <w:rPr>
          <w:rFonts w:hint="eastAsia" w:eastAsia="等线" w:cs="Times New Roman"/>
          <w:sz w:val="24"/>
          <w:szCs w:val="24"/>
        </w:rPr>
        <w:t>analyst</w:t>
      </w:r>
      <w:r>
        <w:rPr>
          <w:rFonts w:eastAsia="等线" w:cs="Times New Roman"/>
          <w:sz w:val="24"/>
          <w:szCs w:val="24"/>
        </w:rPr>
        <w:t xml:space="preserve"> from different size of broker firms will have different forecast. The intuition underlying this empirical finding is that the large broker firms can access to richer amount of private information compared with small broker firms, and analysts in large broker firms play stronger information acquisition role.</w:t>
      </w:r>
    </w:p>
    <w:p>
      <w:pPr>
        <w:widowControl/>
        <w:spacing w:after="0" w:line="480" w:lineRule="auto"/>
        <w:ind w:firstLine="720"/>
        <w:rPr>
          <w:rFonts w:eastAsia="等线" w:cs="Times New Roman"/>
          <w:sz w:val="24"/>
          <w:szCs w:val="24"/>
        </w:rPr>
      </w:pPr>
      <w:r>
        <w:rPr>
          <w:rFonts w:eastAsia="等线" w:cs="Times New Roman"/>
          <w:sz w:val="24"/>
          <w:szCs w:val="24"/>
        </w:rPr>
        <w:t>Next, we run multivariate regression in regression 2 and 3. We regress earnings forecasts dispersion on firm’s characteristics in regression 2, and coefficients for book to market ratio, stock price, sales/assets ratio and firm size are all significant. The signs of these firm variables coincide with signs in previous findings that traditionally attribute analysts’ dispersion to firm’ characteristics. We then add analyst’ characteristic and run regression 3. The coefficient of Isize term in regression 3 is positive and significant, and the coefficients of firm variables in regression 3 decrease compared with the coefficients of firm variables in regression 2. This result indicates that, apart from firm’s characteristics, divergence in brokerage size has a negligible effect on analysts’ dispersion as well.</w:t>
      </w:r>
    </w:p>
    <w:p>
      <w:pPr>
        <w:widowControl/>
        <w:spacing w:after="0" w:line="480" w:lineRule="auto"/>
        <w:ind w:firstLine="720"/>
        <w:rPr>
          <w:rFonts w:eastAsia="等线" w:cs="Times New Roman"/>
          <w:sz w:val="24"/>
          <w:szCs w:val="24"/>
        </w:rPr>
      </w:pPr>
      <w:r>
        <w:rPr>
          <w:rFonts w:eastAsia="等线" w:cs="Times New Roman"/>
          <w:sz w:val="24"/>
          <w:szCs w:val="24"/>
        </w:rPr>
        <w:t xml:space="preserve">Table 3 </w:t>
      </w:r>
      <w:r>
        <w:rPr>
          <w:rFonts w:hint="eastAsia" w:eastAsia="等线" w:cs="Times New Roman"/>
          <w:sz w:val="24"/>
          <w:szCs w:val="24"/>
        </w:rPr>
        <w:t>ex</w:t>
      </w:r>
      <w:r>
        <w:rPr>
          <w:rFonts w:eastAsia="等线" w:cs="Times New Roman"/>
          <w:sz w:val="24"/>
          <w:szCs w:val="24"/>
        </w:rPr>
        <w:t>plores another analyst chara</w:t>
      </w:r>
      <w:r>
        <w:rPr>
          <w:rFonts w:hint="eastAsia" w:eastAsia="等线" w:cs="Times New Roman"/>
          <w:sz w:val="24"/>
          <w:szCs w:val="24"/>
        </w:rPr>
        <w:t>cteristi</w:t>
      </w:r>
      <w:r>
        <w:rPr>
          <w:rFonts w:eastAsia="等线" w:cs="Times New Roman"/>
          <w:sz w:val="24"/>
          <w:szCs w:val="24"/>
        </w:rPr>
        <w:t>c, working experience,</w:t>
      </w:r>
      <w:r>
        <w:rPr>
          <w:rFonts w:hint="eastAsia" w:eastAsia="等线" w:cs="Times New Roman"/>
          <w:sz w:val="24"/>
          <w:szCs w:val="24"/>
        </w:rPr>
        <w:t xml:space="preserve"> </w:t>
      </w:r>
      <w:r>
        <w:rPr>
          <w:rFonts w:eastAsia="等线" w:cs="Times New Roman"/>
          <w:sz w:val="24"/>
          <w:szCs w:val="24"/>
        </w:rPr>
        <w:t xml:space="preserve">that might affect the dispersion between two analysts. We first run regression on analyst’ s working experience and firm’s characteristics separately in regression 1 and 2. </w:t>
      </w:r>
      <w:r>
        <w:rPr>
          <w:rFonts w:hint="eastAsia" w:eastAsia="等线" w:cs="Times New Roman"/>
          <w:sz w:val="24"/>
          <w:szCs w:val="24"/>
        </w:rPr>
        <w:t>W</w:t>
      </w:r>
      <w:r>
        <w:rPr>
          <w:rFonts w:eastAsia="等线" w:cs="Times New Roman"/>
          <w:sz w:val="24"/>
          <w:szCs w:val="24"/>
        </w:rPr>
        <w:t>e next add the analyst’s working experience in regression 3 as an additional independent variable compared to regression 2. Results in regression 3 show that working experience divergence bring positive and significant effect to EPS forecast dispersion. This result is consistent with our H2:</w:t>
      </w:r>
      <w:r>
        <w:rPr>
          <w:rFonts w:eastAsia="等线" w:cs="Times New Roman"/>
          <w:sz w:val="24"/>
          <w:szCs w:val="24"/>
        </w:rPr>
        <w:t xml:space="preserve"> The disagreement between equally experienced analysts is small.  </w:t>
      </w:r>
      <w:r>
        <w:rPr>
          <w:rFonts w:hint="eastAsia" w:eastAsia="等线" w:cs="Times New Roman"/>
          <w:sz w:val="24"/>
          <w:szCs w:val="24"/>
        </w:rPr>
        <w:t>Moreover</w:t>
      </w:r>
      <w:r>
        <w:rPr>
          <w:rFonts w:eastAsia="等线" w:cs="Times New Roman"/>
          <w:sz w:val="24"/>
          <w:szCs w:val="24"/>
        </w:rPr>
        <w:t xml:space="preserve">, adding working experience decrease the magnitude of </w:t>
      </w:r>
      <w:r>
        <w:rPr>
          <w:rFonts w:hint="eastAsia" w:eastAsia="等线" w:cs="Times New Roman"/>
          <w:sz w:val="24"/>
          <w:szCs w:val="24"/>
        </w:rPr>
        <w:t>firm</w:t>
      </w:r>
      <w:r>
        <w:rPr>
          <w:rFonts w:eastAsia="等线" w:cs="Times New Roman"/>
          <w:sz w:val="24"/>
          <w:szCs w:val="24"/>
        </w:rPr>
        <w:t xml:space="preserve">s’ own characteristic coefficients and R-squared increased. This result also proves that divergence in working experience can explain part of the dispersion. </w:t>
      </w:r>
    </w:p>
    <w:p>
      <w:pPr>
        <w:widowControl/>
        <w:spacing w:after="0" w:line="480" w:lineRule="auto"/>
        <w:ind w:firstLine="720"/>
        <w:rPr>
          <w:rFonts w:eastAsia="等线" w:cs="Times New Roman"/>
          <w:sz w:val="24"/>
          <w:szCs w:val="24"/>
        </w:rPr>
      </w:pPr>
      <w:r>
        <w:rPr>
          <w:rFonts w:eastAsia="等线" w:cs="Times New Roman"/>
          <w:sz w:val="24"/>
          <w:szCs w:val="24"/>
        </w:rPr>
        <w:t xml:space="preserve">In regression 4, we add the interaction terms between working experience and firm characteristics such as book to market ratio, stock price, debt/asset ratio, sales/assets ratio, and firm size. These interaction terms have the same sign with the firm’s financial terms. This result shows that working experience amplify the effect of these firm’s financial terms. For example, the negative sign of firm size presents that analysts are possible have the same opinion on the large cap companies. This interpretation makes sense because there is more public information released on the large cap companies. The interaction terms reflect the different information integration ability between two analysts on a transparent and information-tensed company, and this difference in information integration is larger when financial information is publicly disclosed. In conclusion, we find that, as the analysts become more experienced and professional, they will build their own information process system. Hence, they are more likely to have different opinion on the target firm. </w:t>
      </w:r>
    </w:p>
    <w:p>
      <w:pPr>
        <w:widowControl/>
        <w:spacing w:after="0" w:line="480" w:lineRule="auto"/>
        <w:ind w:firstLine="720"/>
        <w:rPr>
          <w:rFonts w:eastAsia="等线" w:cs="Times New Roman"/>
          <w:color w:val="000000" w:themeColor="text1"/>
          <w:sz w:val="24"/>
          <w:szCs w:val="24"/>
          <w14:textFill>
            <w14:solidFill>
              <w14:schemeClr w14:val="tx1"/>
            </w14:solidFill>
          </w14:textFill>
        </w:rPr>
      </w:pPr>
      <w:r>
        <w:rPr>
          <w:rFonts w:eastAsia="等线" w:cs="Times New Roman"/>
          <w:color w:val="000000" w:themeColor="text1"/>
          <w:sz w:val="24"/>
          <w:szCs w:val="24"/>
          <w14:textFill>
            <w14:solidFill>
              <w14:schemeClr w14:val="tx1"/>
            </w14:solidFill>
          </w14:textFill>
        </w:rPr>
        <w:t>I</w:t>
      </w:r>
      <w:r>
        <w:rPr>
          <w:rFonts w:hint="eastAsia" w:eastAsia="等线" w:cs="Times New Roman"/>
          <w:color w:val="000000" w:themeColor="text1"/>
          <w:sz w:val="24"/>
          <w:szCs w:val="24"/>
          <w14:textFill>
            <w14:solidFill>
              <w14:schemeClr w14:val="tx1"/>
            </w14:solidFill>
          </w14:textFill>
        </w:rPr>
        <w:t>n</w:t>
      </w:r>
      <w:r>
        <w:rPr>
          <w:rFonts w:eastAsia="等线" w:cs="Times New Roman"/>
          <w:color w:val="000000" w:themeColor="text1"/>
          <w:sz w:val="24"/>
          <w:szCs w:val="24"/>
          <w14:textFill>
            <w14:solidFill>
              <w14:schemeClr w14:val="tx1"/>
            </w14:solidFill>
          </w14:textFill>
        </w:rPr>
        <w:t xml:space="preserve"> table 4, we explore the effect of difference analyst experience on analyst forecast dispersion. From regression 1 to regression 3, the results are similar to previous effect of working experience and broker firm size. The coefficient of analyst experience is significant and positive. High analyst experience means that this analyst follow</w:t>
      </w:r>
      <w:r>
        <w:rPr>
          <w:rFonts w:hint="eastAsia" w:eastAsia="等线" w:cs="Times New Roman"/>
          <w:color w:val="000000" w:themeColor="text1"/>
          <w:sz w:val="24"/>
          <w:szCs w:val="24"/>
          <w14:textFill>
            <w14:solidFill>
              <w14:schemeClr w14:val="tx1"/>
            </w14:solidFill>
          </w14:textFill>
        </w:rPr>
        <w:t>s</w:t>
      </w:r>
      <w:r>
        <w:rPr>
          <w:rFonts w:eastAsia="等线" w:cs="Times New Roman"/>
          <w:color w:val="000000" w:themeColor="text1"/>
          <w:sz w:val="24"/>
          <w:szCs w:val="24"/>
          <w14:textFill>
            <w14:solidFill>
              <w14:schemeClr w14:val="tx1"/>
            </w14:solidFill>
          </w14:textFill>
        </w:rPr>
        <w:t xml:space="preserve"> and study the target firm for a long time period. He should be more familiar with the financial information on this company. Compared with a new analyst who study the target firm for a short period, there exists the dispersion on target firms.</w:t>
      </w:r>
    </w:p>
    <w:p>
      <w:pPr>
        <w:widowControl/>
        <w:spacing w:after="0" w:line="480" w:lineRule="auto"/>
        <w:ind w:firstLine="720"/>
        <w:rPr>
          <w:rFonts w:eastAsia="等线" w:cs="Times New Roman"/>
          <w:sz w:val="24"/>
          <w:szCs w:val="24"/>
        </w:rPr>
      </w:pPr>
      <w:r>
        <w:rPr>
          <w:rFonts w:eastAsia="等线" w:cs="Times New Roman"/>
          <w:sz w:val="24"/>
          <w:szCs w:val="24"/>
        </w:rPr>
        <w:t xml:space="preserve">However, in regression 4, we consider the intersection between analyst experience and then the coefficient of analyst experience becomes negative and insignificant. In this regression, the intersection terms [Analyst experience* stock price] and [Analyst experience* sales/total assets] are positive and significant.  </w:t>
      </w:r>
      <w:r>
        <w:rPr>
          <w:rFonts w:hint="eastAsia" w:eastAsia="等线" w:cs="Times New Roman"/>
          <w:sz w:val="24"/>
          <w:szCs w:val="24"/>
        </w:rPr>
        <w:t>O</w:t>
      </w:r>
      <w:r>
        <w:rPr>
          <w:rFonts w:eastAsia="等线" w:cs="Times New Roman"/>
          <w:sz w:val="24"/>
          <w:szCs w:val="24"/>
        </w:rPr>
        <w:t>ne possible explanation is that the understanding the information contained in stock price and sales are importance source of forecast dispersion. Analyst working experience is not the key source of forecast dispersion in this situation.</w:t>
      </w:r>
    </w:p>
    <w:p>
      <w:pPr>
        <w:widowControl/>
        <w:spacing w:after="0" w:line="480" w:lineRule="auto"/>
        <w:ind w:firstLine="720"/>
        <w:rPr>
          <w:rFonts w:eastAsia="等线" w:cs="Times New Roman"/>
          <w:sz w:val="24"/>
          <w:szCs w:val="24"/>
        </w:rPr>
      </w:pPr>
      <w:bookmarkStart w:id="8" w:name="_GoBack"/>
      <w:bookmarkEnd w:id="8"/>
    </w:p>
    <w:p>
      <w:pPr>
        <w:widowControl/>
        <w:numPr>
          <w:ilvl w:val="0"/>
          <w:numId w:val="3"/>
        </w:numPr>
        <w:spacing w:after="0" w:line="240" w:lineRule="auto"/>
        <w:rPr>
          <w:rFonts w:ascii="Times" w:hAnsi="Times" w:eastAsia="等线" w:cs="Times New Roman"/>
          <w:b/>
          <w:bCs/>
          <w:sz w:val="24"/>
          <w:szCs w:val="24"/>
        </w:rPr>
      </w:pPr>
      <w:r>
        <w:rPr>
          <w:rFonts w:ascii="Times" w:hAnsi="Times" w:eastAsia="等线" w:cs="Times New Roman"/>
          <w:b/>
          <w:bCs/>
          <w:sz w:val="24"/>
          <w:szCs w:val="24"/>
        </w:rPr>
        <w:t>Concluding Remarks</w:t>
      </w:r>
    </w:p>
    <w:p>
      <w:pPr>
        <w:widowControl/>
        <w:numPr>
          <w:numId w:val="0"/>
        </w:numPr>
        <w:spacing w:after="0" w:line="240" w:lineRule="auto"/>
        <w:rPr>
          <w:rFonts w:ascii="Times" w:hAnsi="Times" w:eastAsia="等线" w:cs="Times New Roman"/>
          <w:b/>
          <w:bCs/>
          <w:sz w:val="24"/>
          <w:szCs w:val="24"/>
        </w:rPr>
      </w:pPr>
    </w:p>
    <w:p>
      <w:pPr>
        <w:widowControl/>
        <w:spacing w:after="0" w:line="480" w:lineRule="auto"/>
        <w:ind w:firstLine="720"/>
        <w:rPr>
          <w:rFonts w:eastAsia="等线" w:cs="Times New Roman"/>
          <w:sz w:val="24"/>
          <w:szCs w:val="24"/>
        </w:rPr>
      </w:pPr>
      <w:r>
        <w:rPr>
          <w:rFonts w:eastAsia="等线" w:cs="Times New Roman"/>
          <w:sz w:val="24"/>
          <w:szCs w:val="24"/>
        </w:rPr>
        <w:t>S</w:t>
      </w:r>
      <w:r>
        <w:rPr>
          <w:rFonts w:eastAsia="等线" w:cs="Times New Roman"/>
          <w:sz w:val="24"/>
          <w:szCs w:val="24"/>
        </w:rPr>
        <w:t>everal scholars have studied the sources of analysts’ different opinions, but previous research focused on target firm’ characteristics and treated analysts’ decision-making processes as “black-box”. We try to penetrate the “black-box” by investigating analyst’s characteristics as a source of analysts’ different opinions. Exploring the richness of analyst-level data, we construct analysts’ different opinions as the difference between an analyst’s earnings forecasts and another analyst’s earnings forecasts over the same target firm at the same time, and we find that analyst’ s characteristics such as divergence in size of analysts’ brokerage firms and divergence in analysts’ experience help explain analysts’ different opinions after controlling for firm characteristics.</w:t>
      </w:r>
    </w:p>
    <w:p>
      <w:pPr>
        <w:widowControl/>
        <w:spacing w:after="0" w:line="480" w:lineRule="auto"/>
        <w:ind w:firstLine="720"/>
        <w:rPr>
          <w:rFonts w:eastAsia="等线" w:cs="Times New Roman"/>
          <w:sz w:val="24"/>
          <w:szCs w:val="24"/>
        </w:rPr>
      </w:pPr>
      <w:r>
        <w:rPr>
          <w:rFonts w:eastAsia="等线" w:cs="Times New Roman"/>
          <w:sz w:val="24"/>
          <w:szCs w:val="24"/>
        </w:rPr>
        <w:t>Based on framework of analyst’s information processing cost, we use divergence in size of analysts’ brokerage firms and divergence in analysts’ experience as proxies for analyst’s information acquisition role and integration role. We show significant roles analysts play in acquiring and integrating information on capital markets as main result. In further analysis, we try to figure out the specific channel in which analysts participate, and we find that analysts play stronger information integration roles when they receive firm’s public information. In conclusion, our study help explain analysts’ dispersion using analyst’s characteristics and demonstrate analyst’s information acquisition role and integration role on capital markets.</w:t>
      </w:r>
    </w:p>
    <w:p>
      <w:pPr>
        <w:widowControl/>
        <w:jc w:val="left"/>
        <w:rPr>
          <w:sz w:val="24"/>
          <w:szCs w:val="24"/>
        </w:rPr>
      </w:pPr>
      <w:r>
        <w:rPr>
          <w:sz w:val="24"/>
          <w:szCs w:val="24"/>
        </w:rPr>
        <w:br w:type="page"/>
      </w:r>
    </w:p>
    <w:p>
      <w:pPr>
        <w:rPr>
          <w:rFonts w:ascii="Times" w:hAnsi="Times"/>
        </w:rPr>
      </w:pPr>
      <w:r>
        <w:rPr>
          <w:rFonts w:cs="Times New Roman"/>
          <w:b/>
          <w:bCs/>
          <w:color w:val="222222"/>
          <w:shd w:val="clear" w:color="auto" w:fill="FFFFFF"/>
        </w:rPr>
        <w:t>Reference</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 xml:space="preserve">Abarbanell, J. S. (1991). Do analysts' earnings forecasts incorporate information in prior stock price changes? Journal of Accounting and Economics, 14(2), 147-165. </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Ali, A., Liu, M., Xu, D., &amp; Yao, T. (2019). Corporate disclosure, analyst forecast dispersion, and stock returns. Journal of Accounting, Auditing &amp; Finance, 34(1), 54-73.</w:t>
      </w:r>
    </w:p>
    <w:p>
      <w:pPr>
        <w:ind w:left="720" w:hanging="720"/>
        <w:rPr>
          <w:rFonts w:cs="Times New Roman"/>
          <w:color w:val="222222"/>
          <w:sz w:val="20"/>
          <w:szCs w:val="20"/>
          <w:shd w:val="clear" w:color="auto" w:fill="FFFFFF"/>
        </w:rPr>
      </w:pPr>
      <w:bookmarkStart w:id="5" w:name="_Hlk70769323"/>
      <w:r>
        <w:rPr>
          <w:rFonts w:cs="Times New Roman"/>
          <w:color w:val="222222"/>
          <w:sz w:val="20"/>
          <w:szCs w:val="20"/>
          <w:shd w:val="clear" w:color="auto" w:fill="FFFFFF"/>
        </w:rPr>
        <w:t>Barron</w:t>
      </w:r>
      <w:bookmarkEnd w:id="5"/>
      <w:r>
        <w:rPr>
          <w:rFonts w:cs="Times New Roman"/>
          <w:color w:val="222222"/>
          <w:sz w:val="20"/>
          <w:szCs w:val="20"/>
          <w:shd w:val="clear" w:color="auto" w:fill="FFFFFF"/>
        </w:rPr>
        <w:t>, O. E., Kile, C. O., &amp; O'KEEFE, T. B. (1999). MD&amp;A quality as measured by the SEC and analysts' earnings forecasts. Contemporary Accounting Research, 16(1), 75-109.</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Blankespoor, E., deHaan, E., &amp; Marinovic, I. (2020). Disclosure processing costs, investors’ information choice, and equity market outcomes: A review. Journal of Accounting and Economics, 70(2-3), 101344.</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Bradshaw, M. T., Richardson, S. A., &amp; Sloan, R. G. (2001). Do analysts and auditors use information in accruals?. Journal of Accounting research, 39(1), 45-74.</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Bradshaw, M. T., &amp; Sloan, R. G. (2002). GAAP versus the street: An empirical assessment of two alternative definitions of earnings. Journal of Accounting Research, 40(1), 41-66.</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Bradshaw, M. T., Ertimur, Y., &amp; O'Brien, P. C. (2017). Financial analysts and their contribution to well-functioning capital markets.</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Brown, L. D., Call, A. C., Clement, M. B., &amp; Sharp, N. Y. (2015). Inside the “black box” of sell‐side financial analysts. Journal of Accounting Research, 53(1), 1-47.</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Diether, K. B., Malloy, C. J., &amp; Scherbina, A. (2002). Differences of opinion and the cross section of stock returns. The Journal of Finance, 57(5), 2113-2141.</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Johnson, T. C. (2004). Forecast dispersion and the cross section of expected returns. The Journal of Finance, 59(5), 1957-1978.</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Lang, M. H., &amp; Lundholm, R. J. (1996). Corporate disclosure policy and analyst behavior. Accounting review, 467-492.</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Lee, C. M. (2016). Commentary On: Do Analyst Forecasts Vary Too Much? Journal of Financial Reporting, 1(1), 127-129.</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Liu, X. G., &amp; Natarajan, R. (2012). The effect of financial analysts' strategic behavior on analysts' forecast dispersion. The Accounting Review, 87(6), 2123-2149.</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 xml:space="preserve">Lundholm, R. J., &amp; Rogo, R. (2016). </w:t>
      </w:r>
      <w:bookmarkStart w:id="6" w:name="OLE_LINK18"/>
      <w:bookmarkStart w:id="7" w:name="OLE_LINK17"/>
      <w:r>
        <w:rPr>
          <w:rFonts w:cs="Times New Roman"/>
          <w:color w:val="222222"/>
          <w:sz w:val="20"/>
          <w:szCs w:val="20"/>
          <w:shd w:val="clear" w:color="auto" w:fill="FFFFFF"/>
        </w:rPr>
        <w:t>Do analyst forecasts vary too much? Journal of Financial Reporting</w:t>
      </w:r>
      <w:bookmarkEnd w:id="6"/>
      <w:bookmarkEnd w:id="7"/>
      <w:r>
        <w:rPr>
          <w:rFonts w:cs="Times New Roman"/>
          <w:color w:val="222222"/>
          <w:sz w:val="20"/>
          <w:szCs w:val="20"/>
          <w:shd w:val="clear" w:color="auto" w:fill="FFFFFF"/>
        </w:rPr>
        <w:t>, 1(1), 101-123.</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Lys, T., &amp; Sohn, S. (1990). The association between revisions of financial analysts' earnings forecasts and security-price changes. Journal of Accounting and Economics, 13(4), 341-363.</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McDonald, Duff (September 29, 2011). "The Prophet Motive". The Wall Street Journal. Archived from the original on January 12, 2015. Retrieved January 13, 2015</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McNichols, M., &amp; O'Brien, P. C. (1997). Self-selection and analyst coverage. Journal of accounting research, 35, 167-199.</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Rees, L., &amp; Thomas, W. (2010). The stock price effects of changes in dispersion of investor beliefs during earnings announcements. Review of Accounting Studies, 15(1), 1-31.</w:t>
      </w:r>
    </w:p>
    <w:p>
      <w:pPr>
        <w:ind w:left="720" w:hanging="720"/>
        <w:rPr>
          <w:rFonts w:cs="Times New Roman"/>
          <w:color w:val="222222"/>
          <w:sz w:val="20"/>
          <w:szCs w:val="20"/>
          <w:shd w:val="clear" w:color="auto" w:fill="FFFFFF"/>
        </w:rPr>
      </w:pPr>
      <w:r>
        <w:rPr>
          <w:rFonts w:cs="Times New Roman"/>
          <w:color w:val="222222"/>
          <w:sz w:val="20"/>
          <w:szCs w:val="20"/>
          <w:shd w:val="clear" w:color="auto" w:fill="FFFFFF"/>
        </w:rPr>
        <w:t>Williams, P. A. (1996). The relation between prior earnings forecast by management and analyst response to a current management forecast. Accounting Review, 103-115.</w:t>
      </w:r>
    </w:p>
    <w:p>
      <w:pPr>
        <w:widowControl/>
        <w:jc w:val="left"/>
        <w:rPr>
          <w:sz w:val="24"/>
          <w:szCs w:val="24"/>
        </w:rPr>
      </w:pPr>
      <w:r>
        <w:rPr>
          <w:sz w:val="24"/>
          <w:szCs w:val="24"/>
        </w:rPr>
        <w:br w:type="page"/>
      </w:r>
    </w:p>
    <w:p>
      <w:r>
        <w:t>A</w:t>
      </w:r>
      <w:r>
        <w:rPr>
          <w:rFonts w:hint="eastAsia"/>
        </w:rPr>
        <w:t>ppendix</w:t>
      </w:r>
    </w:p>
    <w:tbl>
      <w:tblPr>
        <w:tblStyle w:val="4"/>
        <w:tblpPr w:leftFromText="180" w:rightFromText="180" w:vertAnchor="text" w:horzAnchor="margin" w:tblpY="153"/>
        <w:tblW w:w="5000" w:type="pct"/>
        <w:tblInd w:w="0" w:type="dxa"/>
        <w:tblLayout w:type="autofit"/>
        <w:tblCellMar>
          <w:top w:w="0" w:type="dxa"/>
          <w:left w:w="108" w:type="dxa"/>
          <w:bottom w:w="0" w:type="dxa"/>
          <w:right w:w="108" w:type="dxa"/>
        </w:tblCellMar>
      </w:tblPr>
      <w:tblGrid>
        <w:gridCol w:w="1866"/>
        <w:gridCol w:w="1870"/>
        <w:gridCol w:w="1868"/>
        <w:gridCol w:w="1870"/>
        <w:gridCol w:w="1048"/>
      </w:tblGrid>
      <w:tr>
        <w:tblPrEx>
          <w:tblCellMar>
            <w:top w:w="0" w:type="dxa"/>
            <w:left w:w="108" w:type="dxa"/>
            <w:bottom w:w="0" w:type="dxa"/>
            <w:right w:w="108" w:type="dxa"/>
          </w:tblCellMar>
        </w:tblPrEx>
        <w:tc>
          <w:tcPr>
            <w:tcW w:w="5000" w:type="pct"/>
            <w:gridSpan w:val="5"/>
            <w:tcBorders>
              <w:top w:val="nil"/>
              <w:left w:val="nil"/>
              <w:bottom w:val="nil"/>
              <w:right w:val="nil"/>
            </w:tcBorders>
          </w:tcPr>
          <w:p>
            <w:pPr>
              <w:autoSpaceDE w:val="0"/>
              <w:autoSpaceDN w:val="0"/>
              <w:adjustRightInd w:val="0"/>
              <w:rPr>
                <w:rFonts w:cs="Times New Roman"/>
                <w:sz w:val="20"/>
                <w:szCs w:val="20"/>
              </w:rPr>
            </w:pPr>
            <w:r>
              <w:rPr>
                <w:rFonts w:cs="Times New Roman"/>
                <w:sz w:val="24"/>
                <w:szCs w:val="24"/>
              </w:rPr>
              <w:t>Table 5</w:t>
            </w:r>
            <w:r>
              <w:rPr>
                <w:rFonts w:cs="Times New Roman"/>
                <w:sz w:val="20"/>
                <w:szCs w:val="20"/>
              </w:rPr>
              <w:t xml:space="preserve"> </w:t>
            </w:r>
            <w:r>
              <w:rPr>
                <w:rFonts w:ascii="Times" w:hAnsi="Times" w:eastAsia="等线" w:cs="Times New Roman"/>
                <w:sz w:val="24"/>
                <w:szCs w:val="24"/>
              </w:rPr>
              <w:t xml:space="preserve"> Broker firm size</w:t>
            </w:r>
          </w:p>
        </w:tc>
      </w:tr>
      <w:tr>
        <w:tblPrEx>
          <w:tblCellMar>
            <w:top w:w="0" w:type="dxa"/>
            <w:left w:w="108" w:type="dxa"/>
            <w:bottom w:w="0" w:type="dxa"/>
            <w:right w:w="108" w:type="dxa"/>
          </w:tblCellMar>
        </w:tblPrEx>
        <w:trPr>
          <w:gridAfter w:val="1"/>
          <w:wAfter w:w="615" w:type="pct"/>
        </w:trPr>
        <w:tc>
          <w:tcPr>
            <w:tcW w:w="1095" w:type="pct"/>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w:t>
            </w:r>
          </w:p>
        </w:tc>
        <w:tc>
          <w:tcPr>
            <w:tcW w:w="1097" w:type="pct"/>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(1)</w:t>
            </w:r>
          </w:p>
        </w:tc>
        <w:tc>
          <w:tcPr>
            <w:tcW w:w="1096" w:type="pct"/>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(2)</w:t>
            </w:r>
          </w:p>
        </w:tc>
        <w:tc>
          <w:tcPr>
            <w:tcW w:w="1097" w:type="pct"/>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(3)</w:t>
            </w:r>
          </w:p>
        </w:tc>
      </w:tr>
      <w:tr>
        <w:tblPrEx>
          <w:tblCellMar>
            <w:top w:w="0" w:type="dxa"/>
            <w:left w:w="108" w:type="dxa"/>
            <w:bottom w:w="0" w:type="dxa"/>
            <w:right w:w="108" w:type="dxa"/>
          </w:tblCellMar>
        </w:tblPrEx>
        <w:trPr>
          <w:gridAfter w:val="1"/>
          <w:wAfter w:w="615" w:type="pct"/>
        </w:trPr>
        <w:tc>
          <w:tcPr>
            <w:tcW w:w="1095"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w:t>
            </w:r>
          </w:p>
        </w:tc>
        <w:tc>
          <w:tcPr>
            <w:tcW w:w="1097"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Dispersion_</w:t>
            </w:r>
          </w:p>
          <w:p>
            <w:pPr>
              <w:autoSpaceDE w:val="0"/>
              <w:autoSpaceDN w:val="0"/>
              <w:adjustRightInd w:val="0"/>
              <w:jc w:val="center"/>
              <w:rPr>
                <w:rFonts w:cs="Times New Roman"/>
                <w:sz w:val="20"/>
                <w:szCs w:val="20"/>
              </w:rPr>
            </w:pPr>
            <w:r>
              <w:rPr>
                <w:rFonts w:cs="Times New Roman"/>
                <w:sz w:val="20"/>
                <w:szCs w:val="20"/>
              </w:rPr>
              <w:t>Recommendation</w:t>
            </w:r>
          </w:p>
        </w:tc>
        <w:tc>
          <w:tcPr>
            <w:tcW w:w="1096"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Dispersion_</w:t>
            </w:r>
          </w:p>
          <w:p>
            <w:pPr>
              <w:autoSpaceDE w:val="0"/>
              <w:autoSpaceDN w:val="0"/>
              <w:adjustRightInd w:val="0"/>
              <w:jc w:val="center"/>
              <w:rPr>
                <w:rFonts w:cs="Times New Roman"/>
                <w:sz w:val="20"/>
                <w:szCs w:val="20"/>
              </w:rPr>
            </w:pPr>
            <w:r>
              <w:rPr>
                <w:rFonts w:cs="Times New Roman"/>
                <w:sz w:val="20"/>
                <w:szCs w:val="20"/>
              </w:rPr>
              <w:t>Recommendation</w:t>
            </w:r>
          </w:p>
        </w:tc>
        <w:tc>
          <w:tcPr>
            <w:tcW w:w="1097"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Dispersion_</w:t>
            </w:r>
          </w:p>
          <w:p>
            <w:pPr>
              <w:autoSpaceDE w:val="0"/>
              <w:autoSpaceDN w:val="0"/>
              <w:adjustRightInd w:val="0"/>
              <w:jc w:val="center"/>
              <w:rPr>
                <w:rFonts w:cs="Times New Roman"/>
                <w:sz w:val="20"/>
                <w:szCs w:val="20"/>
              </w:rPr>
            </w:pPr>
            <w:r>
              <w:rPr>
                <w:rFonts w:cs="Times New Roman"/>
                <w:sz w:val="20"/>
                <w:szCs w:val="20"/>
              </w:rPr>
              <w:t>Recommendation</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ISize</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w:t>
            </w:r>
          </w:p>
        </w:tc>
        <w:tc>
          <w:tcPr>
            <w:tcW w:w="1096" w:type="pct"/>
            <w:tcBorders>
              <w:top w:val="nil"/>
              <w:left w:val="nil"/>
              <w:bottom w:val="nil"/>
              <w:right w:val="nil"/>
            </w:tcBorders>
          </w:tcPr>
          <w:p>
            <w:pPr>
              <w:autoSpaceDE w:val="0"/>
              <w:autoSpaceDN w:val="0"/>
              <w:adjustRightInd w:val="0"/>
              <w:jc w:val="center"/>
              <w:rPr>
                <w:rFonts w:cs="Times New Roman"/>
                <w:sz w:val="20"/>
                <w:szCs w:val="20"/>
              </w:rPr>
            </w:pP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w:t>
            </w:r>
          </w:p>
        </w:tc>
        <w:tc>
          <w:tcPr>
            <w:tcW w:w="1096" w:type="pct"/>
            <w:tcBorders>
              <w:top w:val="nil"/>
              <w:left w:val="nil"/>
              <w:bottom w:val="nil"/>
              <w:right w:val="nil"/>
            </w:tcBorders>
          </w:tcPr>
          <w:p>
            <w:pPr>
              <w:autoSpaceDE w:val="0"/>
              <w:autoSpaceDN w:val="0"/>
              <w:adjustRightInd w:val="0"/>
              <w:jc w:val="center"/>
              <w:rPr>
                <w:rFonts w:cs="Times New Roman"/>
                <w:sz w:val="20"/>
                <w:szCs w:val="20"/>
              </w:rPr>
            </w:pP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Book/Market ratio</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.0591</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.0574</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(.0992)</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(.0992)</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Stock price</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.0014</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.0015</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(.0012)</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(.0012)</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Sales/Total asset</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.2728</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.2751</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(.1895)</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(.1894)</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Debt/Equity Ratio </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.0003*</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.0003*</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(.0001)</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(.0001)</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Firmsize</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-.0214</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-.0222</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(.045)</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(.045)</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Observations</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151499</w:t>
            </w: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68920</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68920</w:t>
            </w:r>
          </w:p>
        </w:tc>
      </w:tr>
      <w:tr>
        <w:tblPrEx>
          <w:tblCellMar>
            <w:top w:w="0" w:type="dxa"/>
            <w:left w:w="108" w:type="dxa"/>
            <w:bottom w:w="0" w:type="dxa"/>
            <w:right w:w="108" w:type="dxa"/>
          </w:tblCellMar>
        </w:tblPrEx>
        <w:trPr>
          <w:gridAfter w:val="1"/>
          <w:wAfter w:w="615" w:type="pct"/>
        </w:trPr>
        <w:tc>
          <w:tcPr>
            <w:tcW w:w="1095"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Pseudo R</w:t>
            </w:r>
            <w:r>
              <w:rPr>
                <w:rFonts w:cs="Times New Roman"/>
                <w:sz w:val="20"/>
                <w:szCs w:val="20"/>
                <w:vertAlign w:val="superscript"/>
              </w:rPr>
              <w:t>2</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w:t>
            </w:r>
          </w:p>
        </w:tc>
        <w:tc>
          <w:tcPr>
            <w:tcW w:w="1096"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.0002</w:t>
            </w:r>
          </w:p>
        </w:tc>
        <w:tc>
          <w:tcPr>
            <w:tcW w:w="1097"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.0002</w:t>
            </w:r>
          </w:p>
        </w:tc>
      </w:tr>
      <w:tr>
        <w:tblPrEx>
          <w:tblCellMar>
            <w:top w:w="0" w:type="dxa"/>
            <w:left w:w="108" w:type="dxa"/>
            <w:bottom w:w="0" w:type="dxa"/>
            <w:right w:w="108" w:type="dxa"/>
          </w:tblCellMar>
        </w:tblPrEx>
        <w:trPr>
          <w:gridAfter w:val="1"/>
          <w:wAfter w:w="615" w:type="pct"/>
        </w:trPr>
        <w:tc>
          <w:tcPr>
            <w:tcW w:w="4385" w:type="pct"/>
            <w:gridSpan w:val="4"/>
            <w:tcBorders>
              <w:top w:val="single" w:color="auto" w:sz="6" w:space="0"/>
              <w:left w:val="nil"/>
              <w:bottom w:val="nil"/>
              <w:right w:val="nil"/>
            </w:tcBorders>
          </w:tcPr>
          <w:p>
            <w:pPr>
              <w:autoSpaceDE w:val="0"/>
              <w:autoSpaceDN w:val="0"/>
              <w:adjustRightInd w:val="0"/>
              <w:rPr>
                <w:rFonts w:cs="Times New Roman"/>
                <w:i/>
                <w:iCs/>
                <w:sz w:val="20"/>
                <w:szCs w:val="20"/>
              </w:rPr>
            </w:pPr>
            <w:r>
              <w:rPr>
                <w:rFonts w:cs="Times New Roman"/>
                <w:i/>
                <w:iCs/>
                <w:sz w:val="20"/>
                <w:szCs w:val="20"/>
              </w:rPr>
              <w:t>Standard errors are in parentheses</w:t>
            </w:r>
          </w:p>
        </w:tc>
      </w:tr>
      <w:tr>
        <w:tblPrEx>
          <w:tblCellMar>
            <w:top w:w="0" w:type="dxa"/>
            <w:left w:w="108" w:type="dxa"/>
            <w:bottom w:w="0" w:type="dxa"/>
            <w:right w:w="108" w:type="dxa"/>
          </w:tblCellMar>
        </w:tblPrEx>
        <w:trPr>
          <w:gridAfter w:val="1"/>
          <w:wAfter w:w="615" w:type="pct"/>
        </w:trPr>
        <w:tc>
          <w:tcPr>
            <w:tcW w:w="4385" w:type="pct"/>
            <w:gridSpan w:val="4"/>
            <w:tcBorders>
              <w:top w:val="nil"/>
              <w:left w:val="nil"/>
              <w:bottom w:val="nil"/>
              <w:right w:val="nil"/>
            </w:tcBorders>
          </w:tcPr>
          <w:p>
            <w:pPr>
              <w:autoSpaceDE w:val="0"/>
              <w:autoSpaceDN w:val="0"/>
              <w:adjustRightInd w:val="0"/>
              <w:rPr>
                <w:rFonts w:cs="Times New Roman"/>
                <w:i/>
                <w:iCs/>
                <w:sz w:val="20"/>
                <w:szCs w:val="20"/>
              </w:rPr>
            </w:pPr>
            <w:r>
              <w:rPr>
                <w:rFonts w:cs="Times New Roman"/>
                <w:i/>
                <w:iCs/>
                <w:sz w:val="20"/>
                <w:szCs w:val="20"/>
              </w:rPr>
              <w:t xml:space="preserve">*** p&lt;.01, ** p&lt;.05, * p&lt;.1 </w:t>
            </w:r>
          </w:p>
        </w:tc>
      </w:tr>
      <w:tr>
        <w:tblPrEx>
          <w:tblCellMar>
            <w:top w:w="0" w:type="dxa"/>
            <w:left w:w="108" w:type="dxa"/>
            <w:bottom w:w="0" w:type="dxa"/>
            <w:right w:w="108" w:type="dxa"/>
          </w:tblCellMar>
        </w:tblPrEx>
        <w:trPr>
          <w:gridAfter w:val="1"/>
          <w:wAfter w:w="615" w:type="pct"/>
        </w:trPr>
        <w:tc>
          <w:tcPr>
            <w:tcW w:w="4385" w:type="pct"/>
            <w:gridSpan w:val="4"/>
            <w:tcBorders>
              <w:top w:val="nil"/>
              <w:left w:val="nil"/>
              <w:bottom w:val="nil"/>
              <w:right w:val="nil"/>
            </w:tcBorders>
          </w:tcPr>
          <w:p>
            <w:pPr>
              <w:autoSpaceDE w:val="0"/>
              <w:autoSpaceDN w:val="0"/>
              <w:adjustRightInd w:val="0"/>
              <w:rPr>
                <w:rFonts w:cs="Times New Roman"/>
                <w:sz w:val="20"/>
                <w:szCs w:val="20"/>
              </w:rPr>
            </w:pPr>
          </w:p>
          <w:p>
            <w:pPr>
              <w:autoSpaceDE w:val="0"/>
              <w:autoSpaceDN w:val="0"/>
              <w:adjustRightInd w:val="0"/>
              <w:rPr>
                <w:rFonts w:cs="Times New Roman"/>
                <w:sz w:val="20"/>
                <w:szCs w:val="20"/>
              </w:rPr>
            </w:pPr>
          </w:p>
          <w:p>
            <w:pPr>
              <w:autoSpaceDE w:val="0"/>
              <w:autoSpaceDN w:val="0"/>
              <w:adjustRightInd w:val="0"/>
              <w:rPr>
                <w:rFonts w:cs="Times New Roman"/>
                <w:sz w:val="20"/>
                <w:szCs w:val="20"/>
              </w:rPr>
            </w:pPr>
          </w:p>
          <w:p>
            <w:pPr>
              <w:autoSpaceDE w:val="0"/>
              <w:autoSpaceDN w:val="0"/>
              <w:adjustRightInd w:val="0"/>
              <w:rPr>
                <w:rFonts w:cs="Times New Roman"/>
                <w:sz w:val="20"/>
                <w:szCs w:val="20"/>
              </w:rPr>
            </w:pPr>
          </w:p>
          <w:p>
            <w:pPr>
              <w:autoSpaceDE w:val="0"/>
              <w:autoSpaceDN w:val="0"/>
              <w:adjustRightInd w:val="0"/>
              <w:rPr>
                <w:rFonts w:cs="Times New Roman"/>
                <w:sz w:val="20"/>
                <w:szCs w:val="20"/>
              </w:rPr>
            </w:pPr>
          </w:p>
          <w:p>
            <w:pPr>
              <w:autoSpaceDE w:val="0"/>
              <w:autoSpaceDN w:val="0"/>
              <w:adjustRightInd w:val="0"/>
              <w:rPr>
                <w:rFonts w:cs="Times New Roman"/>
                <w:sz w:val="20"/>
                <w:szCs w:val="20"/>
              </w:rPr>
            </w:pPr>
          </w:p>
        </w:tc>
      </w:tr>
    </w:tbl>
    <w:p/>
    <w:p/>
    <w:p/>
    <w:p/>
    <w:p/>
    <w:p>
      <w:r>
        <w:t>T</w:t>
      </w:r>
      <w:r>
        <w:rPr>
          <w:rFonts w:hint="eastAsia"/>
        </w:rPr>
        <w:t>able</w:t>
      </w:r>
      <w:r>
        <w:t xml:space="preserve"> 6 Working experience</w:t>
      </w:r>
    </w:p>
    <w:tbl>
      <w:tblPr>
        <w:tblStyle w:val="4"/>
        <w:tblW w:w="5000" w:type="pct"/>
        <w:tblInd w:w="0" w:type="dxa"/>
        <w:tblLayout w:type="fixed"/>
        <w:tblCellMar>
          <w:top w:w="0" w:type="dxa"/>
          <w:left w:w="108" w:type="dxa"/>
          <w:bottom w:w="0" w:type="dxa"/>
          <w:right w:w="108" w:type="dxa"/>
        </w:tblCellMar>
      </w:tblPr>
      <w:tblGrid>
        <w:gridCol w:w="1701"/>
        <w:gridCol w:w="1706"/>
        <w:gridCol w:w="1706"/>
        <w:gridCol w:w="1246"/>
        <w:gridCol w:w="457"/>
        <w:gridCol w:w="1706"/>
      </w:tblGrid>
      <w:tr>
        <w:tblPrEx>
          <w:tblCellMar>
            <w:top w:w="0" w:type="dxa"/>
            <w:left w:w="108" w:type="dxa"/>
            <w:bottom w:w="0" w:type="dxa"/>
            <w:right w:w="108" w:type="dxa"/>
          </w:tblCellMar>
        </w:tblPrEx>
        <w:tc>
          <w:tcPr>
            <w:tcW w:w="998" w:type="pct"/>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w:t>
            </w:r>
          </w:p>
        </w:tc>
        <w:tc>
          <w:tcPr>
            <w:tcW w:w="1001" w:type="pct"/>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(1)</w:t>
            </w:r>
          </w:p>
        </w:tc>
        <w:tc>
          <w:tcPr>
            <w:tcW w:w="1001" w:type="pct"/>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(2)</w:t>
            </w:r>
          </w:p>
        </w:tc>
        <w:tc>
          <w:tcPr>
            <w:tcW w:w="999" w:type="pct"/>
            <w:gridSpan w:val="2"/>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(3)</w:t>
            </w:r>
          </w:p>
        </w:tc>
        <w:tc>
          <w:tcPr>
            <w:tcW w:w="1001" w:type="pct"/>
            <w:tcBorders>
              <w:top w:val="single" w:color="auto" w:sz="4" w:space="0"/>
              <w:left w:val="nil"/>
              <w:bottom w:val="nil"/>
              <w:right w:val="nil"/>
            </w:tcBorders>
          </w:tcPr>
          <w:p>
            <w:pPr>
              <w:autoSpaceDE w:val="0"/>
              <w:autoSpaceDN w:val="0"/>
              <w:adjustRightInd w:val="0"/>
              <w:jc w:val="center"/>
              <w:rPr>
                <w:rFonts w:cs="Times New Roman"/>
                <w:sz w:val="20"/>
                <w:szCs w:val="20"/>
              </w:rPr>
            </w:pPr>
            <w:r>
              <w:rPr>
                <w:rFonts w:cs="Times New Roman"/>
                <w:sz w:val="20"/>
                <w:szCs w:val="20"/>
              </w:rPr>
              <w:t xml:space="preserve">  (4)</w:t>
            </w:r>
          </w:p>
        </w:tc>
      </w:tr>
      <w:tr>
        <w:tblPrEx>
          <w:tblCellMar>
            <w:top w:w="0" w:type="dxa"/>
            <w:left w:w="108" w:type="dxa"/>
            <w:bottom w:w="0" w:type="dxa"/>
            <w:right w:w="108" w:type="dxa"/>
          </w:tblCellMar>
        </w:tblPrEx>
        <w:tc>
          <w:tcPr>
            <w:tcW w:w="998"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w:t>
            </w:r>
          </w:p>
        </w:tc>
        <w:tc>
          <w:tcPr>
            <w:tcW w:w="1001"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Dispersion_</w:t>
            </w:r>
          </w:p>
          <w:p>
            <w:pPr>
              <w:autoSpaceDE w:val="0"/>
              <w:autoSpaceDN w:val="0"/>
              <w:adjustRightInd w:val="0"/>
              <w:jc w:val="center"/>
              <w:rPr>
                <w:rFonts w:cs="Times New Roman"/>
                <w:sz w:val="20"/>
                <w:szCs w:val="20"/>
              </w:rPr>
            </w:pPr>
            <w:r>
              <w:rPr>
                <w:rFonts w:cs="Times New Roman"/>
                <w:sz w:val="20"/>
                <w:szCs w:val="20"/>
              </w:rPr>
              <w:t>Recommendation</w:t>
            </w:r>
          </w:p>
        </w:tc>
        <w:tc>
          <w:tcPr>
            <w:tcW w:w="1001"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Dispersion_</w:t>
            </w:r>
          </w:p>
          <w:p>
            <w:pPr>
              <w:autoSpaceDE w:val="0"/>
              <w:autoSpaceDN w:val="0"/>
              <w:adjustRightInd w:val="0"/>
              <w:jc w:val="center"/>
              <w:rPr>
                <w:rFonts w:cs="Times New Roman"/>
                <w:sz w:val="20"/>
                <w:szCs w:val="20"/>
              </w:rPr>
            </w:pPr>
            <w:r>
              <w:rPr>
                <w:rFonts w:cs="Times New Roman"/>
                <w:sz w:val="20"/>
                <w:szCs w:val="20"/>
              </w:rPr>
              <w:t>Recommendation</w:t>
            </w:r>
          </w:p>
        </w:tc>
        <w:tc>
          <w:tcPr>
            <w:tcW w:w="999" w:type="pct"/>
            <w:gridSpan w:val="2"/>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Dispersion_</w:t>
            </w:r>
          </w:p>
          <w:p>
            <w:pPr>
              <w:autoSpaceDE w:val="0"/>
              <w:autoSpaceDN w:val="0"/>
              <w:adjustRightInd w:val="0"/>
              <w:jc w:val="center"/>
              <w:rPr>
                <w:rFonts w:cs="Times New Roman"/>
                <w:sz w:val="20"/>
                <w:szCs w:val="20"/>
              </w:rPr>
            </w:pPr>
            <w:r>
              <w:rPr>
                <w:rFonts w:cs="Times New Roman"/>
                <w:sz w:val="20"/>
                <w:szCs w:val="20"/>
              </w:rPr>
              <w:t>Recommendation</w:t>
            </w:r>
          </w:p>
        </w:tc>
        <w:tc>
          <w:tcPr>
            <w:tcW w:w="1001"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Dispersion_</w:t>
            </w:r>
          </w:p>
          <w:p>
            <w:pPr>
              <w:autoSpaceDE w:val="0"/>
              <w:autoSpaceDN w:val="0"/>
              <w:adjustRightInd w:val="0"/>
              <w:jc w:val="center"/>
              <w:rPr>
                <w:rFonts w:cs="Times New Roman"/>
                <w:sz w:val="20"/>
                <w:szCs w:val="20"/>
              </w:rPr>
            </w:pPr>
            <w:r>
              <w:rPr>
                <w:rFonts w:cs="Times New Roman"/>
                <w:sz w:val="20"/>
                <w:szCs w:val="20"/>
              </w:rPr>
              <w:t>Recommendation</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IWorking</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-.0054***</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-.0049**</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-.0141</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(.0016)</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(.0024)</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(.0167)</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Book/Market ratio</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.0591</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.0617</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.0728</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(.0992)</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(.0992)</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(.0996)</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Stock price</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.0014</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.0015</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.0015</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(.0012)</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(.0012)</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(.0012)</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Sales/Total asset</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.2728</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.2773</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.2788</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(.1895)</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(.1895)</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(.1906)</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Debt/Equity Ratio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.0003*</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.0003*</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.0003*</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(.0001)</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(.0001)</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(.0001)</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Firmsize</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-.0214</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-.0212</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-.0205</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(.045)</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(.045)</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(.0451)</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IWorking * B/M</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.0098</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(.0081)</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IWorking * Stock price</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(.0001)</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IWorking* Sales/Total asset</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.0017</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(.0152)</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IWorking* Debt/Equity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IWorking* Firmsize</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.0005</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(.0021)</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Observations</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151499</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68920</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68920</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68920</w:t>
            </w:r>
          </w:p>
        </w:tc>
      </w:tr>
      <w:tr>
        <w:tblPrEx>
          <w:tblCellMar>
            <w:top w:w="0" w:type="dxa"/>
            <w:left w:w="108" w:type="dxa"/>
            <w:bottom w:w="0" w:type="dxa"/>
            <w:right w:w="108" w:type="dxa"/>
          </w:tblCellMar>
        </w:tblPrEx>
        <w:tc>
          <w:tcPr>
            <w:tcW w:w="998" w:type="pct"/>
            <w:tcBorders>
              <w:top w:val="nil"/>
              <w:left w:val="nil"/>
              <w:bottom w:val="nil"/>
              <w:right w:val="nil"/>
            </w:tcBorders>
          </w:tcPr>
          <w:p>
            <w:pPr>
              <w:autoSpaceDE w:val="0"/>
              <w:autoSpaceDN w:val="0"/>
              <w:adjustRightInd w:val="0"/>
              <w:rPr>
                <w:rFonts w:cs="Times New Roman"/>
                <w:sz w:val="20"/>
                <w:szCs w:val="20"/>
              </w:rPr>
            </w:pPr>
            <w:r>
              <w:rPr>
                <w:rFonts w:cs="Times New Roman"/>
                <w:sz w:val="20"/>
                <w:szCs w:val="20"/>
              </w:rPr>
              <w:t xml:space="preserve"> Pseudo R</w:t>
            </w:r>
            <w:r>
              <w:rPr>
                <w:rFonts w:cs="Times New Roman"/>
                <w:sz w:val="20"/>
                <w:szCs w:val="20"/>
                <w:vertAlign w:val="superscript"/>
              </w:rPr>
              <w:t>2</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.0001</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.0002</w:t>
            </w:r>
          </w:p>
        </w:tc>
        <w:tc>
          <w:tcPr>
            <w:tcW w:w="999" w:type="pct"/>
            <w:gridSpan w:val="2"/>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.0003</w:t>
            </w:r>
          </w:p>
        </w:tc>
        <w:tc>
          <w:tcPr>
            <w:tcW w:w="1001" w:type="pct"/>
            <w:tcBorders>
              <w:top w:val="nil"/>
              <w:left w:val="nil"/>
              <w:bottom w:val="nil"/>
              <w:right w:val="nil"/>
            </w:tcBorders>
          </w:tcPr>
          <w:p>
            <w:pPr>
              <w:autoSpaceDE w:val="0"/>
              <w:autoSpaceDN w:val="0"/>
              <w:adjustRightInd w:val="0"/>
              <w:jc w:val="center"/>
              <w:rPr>
                <w:rFonts w:cs="Times New Roman"/>
                <w:sz w:val="20"/>
                <w:szCs w:val="20"/>
              </w:rPr>
            </w:pPr>
            <w:r>
              <w:rPr>
                <w:rFonts w:cs="Times New Roman"/>
                <w:sz w:val="20"/>
                <w:szCs w:val="20"/>
              </w:rPr>
              <w:t>.0004</w:t>
            </w:r>
          </w:p>
        </w:tc>
      </w:tr>
      <w:tr>
        <w:tblPrEx>
          <w:tblCellMar>
            <w:top w:w="0" w:type="dxa"/>
            <w:left w:w="108" w:type="dxa"/>
            <w:bottom w:w="0" w:type="dxa"/>
            <w:right w:w="108" w:type="dxa"/>
          </w:tblCellMar>
        </w:tblPrEx>
        <w:trPr>
          <w:gridAfter w:val="2"/>
          <w:wAfter w:w="1269" w:type="pct"/>
        </w:trPr>
        <w:tc>
          <w:tcPr>
            <w:tcW w:w="3731" w:type="pct"/>
            <w:gridSpan w:val="4"/>
            <w:tcBorders>
              <w:top w:val="single" w:color="auto" w:sz="6" w:space="0"/>
              <w:left w:val="nil"/>
              <w:bottom w:val="nil"/>
              <w:right w:val="nil"/>
            </w:tcBorders>
          </w:tcPr>
          <w:p>
            <w:pPr>
              <w:autoSpaceDE w:val="0"/>
              <w:autoSpaceDN w:val="0"/>
              <w:adjustRightInd w:val="0"/>
              <w:rPr>
                <w:rFonts w:cs="Times New Roman"/>
                <w:i/>
                <w:iCs/>
                <w:sz w:val="20"/>
                <w:szCs w:val="20"/>
              </w:rPr>
            </w:pPr>
            <w:r>
              <w:rPr>
                <w:rFonts w:cs="Times New Roman"/>
                <w:i/>
                <w:iCs/>
                <w:sz w:val="20"/>
                <w:szCs w:val="20"/>
              </w:rPr>
              <w:t>Standard errors are in parentheses</w:t>
            </w:r>
          </w:p>
        </w:tc>
      </w:tr>
      <w:tr>
        <w:tblPrEx>
          <w:tblCellMar>
            <w:top w:w="0" w:type="dxa"/>
            <w:left w:w="108" w:type="dxa"/>
            <w:bottom w:w="0" w:type="dxa"/>
            <w:right w:w="108" w:type="dxa"/>
          </w:tblCellMar>
        </w:tblPrEx>
        <w:trPr>
          <w:gridAfter w:val="2"/>
          <w:wAfter w:w="1269" w:type="pct"/>
        </w:trPr>
        <w:tc>
          <w:tcPr>
            <w:tcW w:w="3731" w:type="pct"/>
            <w:gridSpan w:val="4"/>
            <w:tcBorders>
              <w:top w:val="nil"/>
              <w:left w:val="nil"/>
              <w:bottom w:val="nil"/>
              <w:right w:val="nil"/>
            </w:tcBorders>
          </w:tcPr>
          <w:p>
            <w:pPr>
              <w:autoSpaceDE w:val="0"/>
              <w:autoSpaceDN w:val="0"/>
              <w:adjustRightInd w:val="0"/>
              <w:rPr>
                <w:rFonts w:cs="Times New Roman"/>
                <w:i/>
                <w:iCs/>
                <w:sz w:val="20"/>
                <w:szCs w:val="20"/>
              </w:rPr>
            </w:pPr>
            <w:r>
              <w:rPr>
                <w:rFonts w:cs="Times New Roman"/>
                <w:i/>
                <w:iCs/>
                <w:sz w:val="20"/>
                <w:szCs w:val="20"/>
              </w:rPr>
              <w:t xml:space="preserve">*** p&lt;.01, ** p&lt;.05, * p&lt;.1 </w:t>
            </w:r>
          </w:p>
        </w:tc>
      </w:tr>
    </w:tbl>
    <w:p>
      <w:r>
        <w:t>T</w:t>
      </w:r>
      <w:r>
        <w:rPr>
          <w:rFonts w:hint="eastAsia"/>
        </w:rPr>
        <w:t>able</w:t>
      </w:r>
      <w:r>
        <w:t xml:space="preserve"> 7 Analyst experience</w:t>
      </w:r>
    </w:p>
    <w:p/>
    <w:tbl>
      <w:tblPr>
        <w:tblStyle w:val="4"/>
        <w:tblpPr w:leftFromText="180" w:rightFromText="180" w:horzAnchor="margin" w:tblpY="480"/>
        <w:tblW w:w="5000" w:type="pct"/>
        <w:tblInd w:w="0" w:type="dxa"/>
        <w:tblLayout w:type="autofit"/>
        <w:tblCellMar>
          <w:top w:w="0" w:type="dxa"/>
          <w:left w:w="108" w:type="dxa"/>
          <w:bottom w:w="0" w:type="dxa"/>
          <w:right w:w="108" w:type="dxa"/>
        </w:tblCellMar>
      </w:tblPr>
      <w:tblGrid>
        <w:gridCol w:w="1841"/>
        <w:gridCol w:w="1669"/>
        <w:gridCol w:w="1669"/>
        <w:gridCol w:w="1669"/>
        <w:gridCol w:w="1674"/>
      </w:tblGrid>
      <w:tr>
        <w:tblPrEx>
          <w:tblCellMar>
            <w:top w:w="0" w:type="dxa"/>
            <w:left w:w="108" w:type="dxa"/>
            <w:bottom w:w="0" w:type="dxa"/>
            <w:right w:w="108" w:type="dxa"/>
          </w:tblCellMar>
        </w:tblPrEx>
        <w:tc>
          <w:tcPr>
            <w:tcW w:w="1081"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w:t>
            </w:r>
          </w:p>
        </w:tc>
        <w:tc>
          <w:tcPr>
            <w:tcW w:w="979"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(1)</w:t>
            </w:r>
          </w:p>
        </w:tc>
        <w:tc>
          <w:tcPr>
            <w:tcW w:w="979"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(2)</w:t>
            </w:r>
          </w:p>
        </w:tc>
        <w:tc>
          <w:tcPr>
            <w:tcW w:w="979"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(3)</w:t>
            </w:r>
          </w:p>
        </w:tc>
        <w:tc>
          <w:tcPr>
            <w:tcW w:w="981" w:type="pct"/>
            <w:tcBorders>
              <w:top w:val="single" w:color="auto" w:sz="4" w:space="0"/>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(4)</w:t>
            </w:r>
          </w:p>
        </w:tc>
      </w:tr>
      <w:tr>
        <w:tblPrEx>
          <w:tblCellMar>
            <w:top w:w="0" w:type="dxa"/>
            <w:left w:w="108" w:type="dxa"/>
            <w:bottom w:w="0" w:type="dxa"/>
            <w:right w:w="108" w:type="dxa"/>
          </w:tblCellMar>
        </w:tblPrEx>
        <w:tc>
          <w:tcPr>
            <w:tcW w:w="1081" w:type="pct"/>
            <w:tcBorders>
              <w:top w:val="nil"/>
              <w:left w:val="nil"/>
              <w:bottom w:val="single" w:color="auto" w:sz="10" w:space="0"/>
              <w:right w:val="nil"/>
            </w:tcBorders>
          </w:tcPr>
          <w:p>
            <w:pPr>
              <w:autoSpaceDE w:val="0"/>
              <w:autoSpaceDN w:val="0"/>
              <w:adjustRightInd w:val="0"/>
              <w:jc w:val="center"/>
              <w:rPr>
                <w:rFonts w:ascii="Garamond" w:hAnsi="Garamond"/>
                <w:sz w:val="20"/>
                <w:szCs w:val="20"/>
              </w:rPr>
            </w:pPr>
            <w:r>
              <w:rPr>
                <w:rFonts w:ascii="Garamond" w:hAnsi="Garamond"/>
                <w:sz w:val="20"/>
                <w:szCs w:val="20"/>
              </w:rPr>
              <w:t xml:space="preserve">   </w:t>
            </w:r>
          </w:p>
        </w:tc>
        <w:tc>
          <w:tcPr>
            <w:tcW w:w="979"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Dispersion_</w:t>
            </w:r>
          </w:p>
          <w:p>
            <w:pPr>
              <w:autoSpaceDE w:val="0"/>
              <w:autoSpaceDN w:val="0"/>
              <w:adjustRightInd w:val="0"/>
              <w:jc w:val="center"/>
              <w:rPr>
                <w:rFonts w:ascii="Garamond" w:hAnsi="Garamond"/>
                <w:sz w:val="20"/>
                <w:szCs w:val="20"/>
              </w:rPr>
            </w:pPr>
            <w:r>
              <w:rPr>
                <w:rFonts w:cs="Times New Roman"/>
                <w:sz w:val="20"/>
                <w:szCs w:val="20"/>
              </w:rPr>
              <w:t>Recommendation</w:t>
            </w:r>
          </w:p>
        </w:tc>
        <w:tc>
          <w:tcPr>
            <w:tcW w:w="979"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Dispersion_</w:t>
            </w:r>
          </w:p>
          <w:p>
            <w:pPr>
              <w:autoSpaceDE w:val="0"/>
              <w:autoSpaceDN w:val="0"/>
              <w:adjustRightInd w:val="0"/>
              <w:jc w:val="center"/>
              <w:rPr>
                <w:rFonts w:ascii="Garamond" w:hAnsi="Garamond"/>
                <w:sz w:val="20"/>
                <w:szCs w:val="20"/>
              </w:rPr>
            </w:pPr>
            <w:r>
              <w:rPr>
                <w:rFonts w:cs="Times New Roman"/>
                <w:sz w:val="20"/>
                <w:szCs w:val="20"/>
              </w:rPr>
              <w:t>Recommendation</w:t>
            </w:r>
          </w:p>
        </w:tc>
        <w:tc>
          <w:tcPr>
            <w:tcW w:w="979"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Dispersion_</w:t>
            </w:r>
          </w:p>
          <w:p>
            <w:pPr>
              <w:autoSpaceDE w:val="0"/>
              <w:autoSpaceDN w:val="0"/>
              <w:adjustRightInd w:val="0"/>
              <w:jc w:val="center"/>
              <w:rPr>
                <w:rFonts w:ascii="Garamond" w:hAnsi="Garamond"/>
                <w:sz w:val="20"/>
                <w:szCs w:val="20"/>
              </w:rPr>
            </w:pPr>
            <w:r>
              <w:rPr>
                <w:rFonts w:cs="Times New Roman"/>
                <w:sz w:val="20"/>
                <w:szCs w:val="20"/>
              </w:rPr>
              <w:t>Recommendation</w:t>
            </w:r>
          </w:p>
        </w:tc>
        <w:tc>
          <w:tcPr>
            <w:tcW w:w="981" w:type="pct"/>
            <w:tcBorders>
              <w:top w:val="nil"/>
              <w:left w:val="nil"/>
              <w:bottom w:val="single" w:color="auto" w:sz="10" w:space="0"/>
              <w:right w:val="nil"/>
            </w:tcBorders>
          </w:tcPr>
          <w:p>
            <w:pPr>
              <w:autoSpaceDE w:val="0"/>
              <w:autoSpaceDN w:val="0"/>
              <w:adjustRightInd w:val="0"/>
              <w:jc w:val="center"/>
              <w:rPr>
                <w:rFonts w:cs="Times New Roman"/>
                <w:sz w:val="20"/>
                <w:szCs w:val="20"/>
              </w:rPr>
            </w:pPr>
            <w:r>
              <w:rPr>
                <w:rFonts w:cs="Times New Roman"/>
                <w:sz w:val="20"/>
                <w:szCs w:val="20"/>
              </w:rPr>
              <w:t xml:space="preserve">   Dispersion_</w:t>
            </w:r>
          </w:p>
          <w:p>
            <w:pPr>
              <w:autoSpaceDE w:val="0"/>
              <w:autoSpaceDN w:val="0"/>
              <w:adjustRightInd w:val="0"/>
              <w:jc w:val="center"/>
              <w:rPr>
                <w:rFonts w:ascii="Garamond" w:hAnsi="Garamond"/>
                <w:sz w:val="20"/>
                <w:szCs w:val="20"/>
              </w:rPr>
            </w:pPr>
            <w:r>
              <w:rPr>
                <w:rFonts w:cs="Times New Roman"/>
                <w:sz w:val="20"/>
                <w:szCs w:val="20"/>
              </w:rPr>
              <w:t>Recommendation</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I</w:t>
            </w:r>
            <w:r>
              <w:rPr>
                <w:rFonts w:hint="eastAsia" w:ascii="Garamond" w:hAnsi="Garamond"/>
                <w:sz w:val="20"/>
                <w:szCs w:val="20"/>
              </w:rPr>
              <w:t>Analyst</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-.0006</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-.0015</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-.0007</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(.0009)</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(.0012)</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(.0013)</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B</w:t>
            </w:r>
            <w:r>
              <w:rPr>
                <w:rFonts w:hint="eastAsia" w:ascii="Garamond" w:hAnsi="Garamond"/>
                <w:sz w:val="20"/>
                <w:szCs w:val="20"/>
              </w:rPr>
              <w:t>o</w:t>
            </w:r>
            <w:r>
              <w:rPr>
                <w:rFonts w:ascii="Garamond" w:hAnsi="Garamond"/>
                <w:sz w:val="20"/>
                <w:szCs w:val="20"/>
              </w:rPr>
              <w:t>ok/Market ratio</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.0591</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.059</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.0691</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(.0992)</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(.0992)</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(.0996)</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Stock price</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.0014</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.0014</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.0015</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(.0012)</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(.0012)</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(.0012)</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S</w:t>
            </w:r>
            <w:r>
              <w:rPr>
                <w:rFonts w:hint="eastAsia" w:ascii="Garamond" w:hAnsi="Garamond"/>
                <w:sz w:val="20"/>
                <w:szCs w:val="20"/>
              </w:rPr>
              <w:t>ales</w:t>
            </w:r>
            <w:r>
              <w:rPr>
                <w:rFonts w:ascii="Garamond" w:hAnsi="Garamond"/>
                <w:sz w:val="20"/>
                <w:szCs w:val="20"/>
              </w:rPr>
              <w:t>/Total asset</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.2728</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.2743</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.2731</w:t>
            </w:r>
          </w:p>
        </w:tc>
      </w:tr>
      <w:tr>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(.1895)</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(.1895)</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(.1904)</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D</w:t>
            </w:r>
            <w:r>
              <w:rPr>
                <w:rFonts w:hint="eastAsia" w:ascii="Garamond" w:hAnsi="Garamond"/>
                <w:sz w:val="20"/>
                <w:szCs w:val="20"/>
              </w:rPr>
              <w:t>eb</w:t>
            </w:r>
            <w:r>
              <w:rPr>
                <w:rFonts w:ascii="Garamond" w:hAnsi="Garamond"/>
                <w:sz w:val="20"/>
                <w:szCs w:val="20"/>
              </w:rPr>
              <w:t>t/E</w:t>
            </w:r>
            <w:r>
              <w:rPr>
                <w:rFonts w:hint="eastAsia" w:ascii="Garamond" w:hAnsi="Garamond"/>
                <w:sz w:val="20"/>
                <w:szCs w:val="20"/>
              </w:rPr>
              <w:t>quity</w:t>
            </w:r>
            <w:r>
              <w:rPr>
                <w:rFonts w:ascii="Garamond" w:hAnsi="Garamond"/>
                <w:sz w:val="20"/>
                <w:szCs w:val="20"/>
              </w:rPr>
              <w:t xml:space="preserve"> Ratio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.0003*</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(.0001)</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(.0001)</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(.0001)</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Firmsize</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-.0214</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-.0213</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-.0227</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(.045)</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(.045)</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(.045)</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 xml:space="preserve"> * B/M</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.0078</w:t>
            </w:r>
          </w:p>
        </w:tc>
      </w:tr>
      <w:tr>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(.0078)</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*Stock price</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(.0001)</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 xml:space="preserve"> S</w:t>
            </w:r>
            <w:r>
              <w:rPr>
                <w:rFonts w:hint="eastAsia" w:ascii="Garamond" w:hAnsi="Garamond"/>
                <w:sz w:val="20"/>
                <w:szCs w:val="20"/>
              </w:rPr>
              <w:t>ales</w:t>
            </w:r>
            <w:r>
              <w:rPr>
                <w:rFonts w:ascii="Garamond" w:hAnsi="Garamond"/>
                <w:sz w:val="20"/>
                <w:szCs w:val="20"/>
              </w:rPr>
              <w:t>/Total asset</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-.003</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(.014)</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 D</w:t>
            </w:r>
            <w:r>
              <w:rPr>
                <w:rFonts w:hint="eastAsia" w:ascii="Garamond" w:hAnsi="Garamond"/>
                <w:sz w:val="20"/>
                <w:szCs w:val="20"/>
              </w:rPr>
              <w:t>eb</w:t>
            </w:r>
            <w:r>
              <w:rPr>
                <w:rFonts w:ascii="Garamond" w:hAnsi="Garamond"/>
                <w:sz w:val="20"/>
                <w:szCs w:val="20"/>
              </w:rPr>
              <w:t>t/E</w:t>
            </w:r>
            <w:r>
              <w:rPr>
                <w:rFonts w:hint="eastAsia" w:ascii="Garamond" w:hAnsi="Garamond"/>
                <w:sz w:val="20"/>
                <w:szCs w:val="20"/>
              </w:rPr>
              <w:t>quity</w:t>
            </w: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I</w:t>
            </w:r>
            <w:r>
              <w:rPr>
                <w:rFonts w:hint="eastAsia" w:ascii="Garamond" w:hAnsi="Garamond"/>
                <w:sz w:val="20"/>
                <w:szCs w:val="20"/>
              </w:rPr>
              <w:t>Analyst</w:t>
            </w:r>
            <w:r>
              <w:rPr>
                <w:rFonts w:ascii="Garamond" w:hAnsi="Garamond"/>
                <w:sz w:val="20"/>
                <w:szCs w:val="20"/>
              </w:rPr>
              <w:t xml:space="preserve"> * Firmsize</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(.001)</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Observations</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151499</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68920</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68920</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68920</w:t>
            </w:r>
          </w:p>
        </w:tc>
      </w:tr>
      <w:tr>
        <w:tblPrEx>
          <w:tblCellMar>
            <w:top w:w="0" w:type="dxa"/>
            <w:left w:w="108" w:type="dxa"/>
            <w:bottom w:w="0" w:type="dxa"/>
            <w:right w:w="108" w:type="dxa"/>
          </w:tblCellMar>
        </w:tblPrEx>
        <w:tc>
          <w:tcPr>
            <w:tcW w:w="1081" w:type="pct"/>
            <w:tcBorders>
              <w:top w:val="nil"/>
              <w:left w:val="nil"/>
              <w:bottom w:val="nil"/>
              <w:right w:val="nil"/>
            </w:tcBorders>
          </w:tcPr>
          <w:p>
            <w:pPr>
              <w:autoSpaceDE w:val="0"/>
              <w:autoSpaceDN w:val="0"/>
              <w:adjustRightInd w:val="0"/>
              <w:rPr>
                <w:rFonts w:ascii="Garamond" w:hAnsi="Garamond"/>
                <w:sz w:val="20"/>
                <w:szCs w:val="20"/>
              </w:rPr>
            </w:pPr>
            <w:r>
              <w:rPr>
                <w:rFonts w:ascii="Garamond" w:hAnsi="Garamond"/>
                <w:sz w:val="20"/>
                <w:szCs w:val="20"/>
              </w:rPr>
              <w:t xml:space="preserve"> Pseudo R</w:t>
            </w:r>
            <w:r>
              <w:rPr>
                <w:rFonts w:ascii="Garamond" w:hAnsi="Garamond"/>
                <w:sz w:val="20"/>
                <w:szCs w:val="20"/>
                <w:vertAlign w:val="superscript"/>
              </w:rPr>
              <w:t>2</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.0001</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.0002</w:t>
            </w:r>
          </w:p>
        </w:tc>
        <w:tc>
          <w:tcPr>
            <w:tcW w:w="979"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.0002</w:t>
            </w:r>
          </w:p>
        </w:tc>
        <w:tc>
          <w:tcPr>
            <w:tcW w:w="981" w:type="pct"/>
            <w:tcBorders>
              <w:top w:val="nil"/>
              <w:left w:val="nil"/>
              <w:bottom w:val="nil"/>
              <w:right w:val="nil"/>
            </w:tcBorders>
          </w:tcPr>
          <w:p>
            <w:pPr>
              <w:autoSpaceDE w:val="0"/>
              <w:autoSpaceDN w:val="0"/>
              <w:adjustRightInd w:val="0"/>
              <w:jc w:val="center"/>
              <w:rPr>
                <w:rFonts w:ascii="Garamond" w:hAnsi="Garamond"/>
                <w:sz w:val="20"/>
                <w:szCs w:val="20"/>
              </w:rPr>
            </w:pPr>
            <w:r>
              <w:rPr>
                <w:rFonts w:ascii="Garamond" w:hAnsi="Garamond"/>
                <w:sz w:val="20"/>
                <w:szCs w:val="20"/>
              </w:rPr>
              <w:t>.0004</w:t>
            </w:r>
          </w:p>
        </w:tc>
      </w:tr>
      <w:tr>
        <w:tblPrEx>
          <w:tblCellMar>
            <w:top w:w="0" w:type="dxa"/>
            <w:left w:w="108" w:type="dxa"/>
            <w:bottom w:w="0" w:type="dxa"/>
            <w:right w:w="108" w:type="dxa"/>
          </w:tblCellMar>
        </w:tblPrEx>
        <w:tc>
          <w:tcPr>
            <w:tcW w:w="5000" w:type="pct"/>
            <w:gridSpan w:val="5"/>
            <w:tcBorders>
              <w:top w:val="single" w:color="auto" w:sz="6" w:space="0"/>
              <w:left w:val="nil"/>
              <w:bottom w:val="nil"/>
              <w:right w:val="nil"/>
            </w:tcBorders>
          </w:tcPr>
          <w:p>
            <w:pPr>
              <w:autoSpaceDE w:val="0"/>
              <w:autoSpaceDN w:val="0"/>
              <w:adjustRightInd w:val="0"/>
              <w:rPr>
                <w:rFonts w:ascii="Garamond" w:hAnsi="Garamond"/>
                <w:i/>
                <w:iCs/>
                <w:sz w:val="20"/>
                <w:szCs w:val="20"/>
              </w:rPr>
            </w:pPr>
            <w:r>
              <w:rPr>
                <w:rFonts w:ascii="Garamond" w:hAnsi="Garamond"/>
                <w:i/>
                <w:iCs/>
                <w:sz w:val="20"/>
                <w:szCs w:val="20"/>
              </w:rPr>
              <w:t>Standard errors are in parentheses</w:t>
            </w:r>
          </w:p>
        </w:tc>
      </w:tr>
      <w:tr>
        <w:tblPrEx>
          <w:tblCellMar>
            <w:top w:w="0" w:type="dxa"/>
            <w:left w:w="108" w:type="dxa"/>
            <w:bottom w:w="0" w:type="dxa"/>
            <w:right w:w="108" w:type="dxa"/>
          </w:tblCellMar>
        </w:tblPrEx>
        <w:tc>
          <w:tcPr>
            <w:tcW w:w="5000" w:type="pct"/>
            <w:gridSpan w:val="5"/>
            <w:tcBorders>
              <w:top w:val="nil"/>
              <w:left w:val="nil"/>
              <w:bottom w:val="nil"/>
              <w:right w:val="nil"/>
            </w:tcBorders>
          </w:tcPr>
          <w:p>
            <w:pPr>
              <w:autoSpaceDE w:val="0"/>
              <w:autoSpaceDN w:val="0"/>
              <w:adjustRightInd w:val="0"/>
              <w:rPr>
                <w:rFonts w:ascii="Garamond" w:hAnsi="Garamond"/>
                <w:i/>
                <w:iCs/>
                <w:sz w:val="20"/>
                <w:szCs w:val="20"/>
              </w:rPr>
            </w:pPr>
            <w:r>
              <w:rPr>
                <w:rFonts w:ascii="Garamond" w:hAnsi="Garamond"/>
                <w:i/>
                <w:iCs/>
                <w:sz w:val="20"/>
                <w:szCs w:val="20"/>
              </w:rPr>
              <w:t xml:space="preserve">*** p&lt;.01, ** p&lt;.05, * p&lt;.1 </w:t>
            </w:r>
          </w:p>
        </w:tc>
      </w:tr>
      <w:tr>
        <w:tblPrEx>
          <w:tblCellMar>
            <w:top w:w="0" w:type="dxa"/>
            <w:left w:w="108" w:type="dxa"/>
            <w:bottom w:w="0" w:type="dxa"/>
            <w:right w:w="108" w:type="dxa"/>
          </w:tblCellMar>
        </w:tblPrEx>
        <w:tc>
          <w:tcPr>
            <w:tcW w:w="5000" w:type="pct"/>
            <w:gridSpan w:val="5"/>
            <w:tcBorders>
              <w:top w:val="nil"/>
              <w:left w:val="nil"/>
              <w:bottom w:val="nil"/>
              <w:right w:val="nil"/>
            </w:tcBorders>
          </w:tcPr>
          <w:p>
            <w:pPr>
              <w:autoSpaceDE w:val="0"/>
              <w:autoSpaceDN w:val="0"/>
              <w:adjustRightInd w:val="0"/>
              <w:rPr>
                <w:rFonts w:ascii="Garamond" w:hAnsi="Garamond"/>
                <w:sz w:val="20"/>
                <w:szCs w:val="20"/>
              </w:rPr>
            </w:pPr>
          </w:p>
        </w:tc>
      </w:tr>
    </w:tbl>
    <w:p>
      <w:pPr>
        <w:rPr>
          <w:sz w:val="24"/>
          <w:szCs w:val="24"/>
        </w:rPr>
      </w:pPr>
    </w:p>
    <w:sectPr>
      <w:pgSz w:w="11906" w:h="16838"/>
      <w:pgMar w:top="1440" w:right="1800" w:bottom="1440" w:left="1800" w:header="851" w:footer="992"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Times">
    <w:altName w:val="Times New Roman Uni"/>
    <w:panose1 w:val="02020603050405020304"/>
    <w:charset w:val="00"/>
    <w:family w:val="roman"/>
    <w:pitch w:val="default"/>
    <w:sig w:usb0="00000000" w:usb1="00000000" w:usb2="00000009" w:usb3="00000000" w:csb0="000001FF" w:csb1="00000000"/>
  </w:font>
  <w:font w:name="TimesNewRomanPSM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Garamond">
    <w:panose1 w:val="02020404030301010803"/>
    <w:charset w:val="00"/>
    <w:family w:val="roman"/>
    <w:pitch w:val="default"/>
    <w:sig w:usb0="00000287" w:usb1="00000000" w:usb2="00000000" w:usb3="00000000" w:csb0="0000009F" w:csb1="DFD70000"/>
  </w:font>
  <w:font w:name="Times New Roman Uni">
    <w:panose1 w:val="02020603050405020304"/>
    <w:charset w:val="86"/>
    <w:family w:val="auto"/>
    <w:pitch w:val="default"/>
    <w:sig w:usb0="B334AAFF" w:usb1="F9FFFFFF" w:usb2="0000003E" w:usb3="00000000" w:csb0="601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73483D"/>
    <w:multiLevelType w:val="singleLevel"/>
    <w:tmpl w:val="BD73483D"/>
    <w:lvl w:ilvl="0" w:tentative="0">
      <w:start w:val="5"/>
      <w:numFmt w:val="decimal"/>
      <w:suff w:val="space"/>
      <w:lvlText w:val="%1."/>
      <w:lvlJc w:val="left"/>
    </w:lvl>
  </w:abstractNum>
  <w:abstractNum w:abstractNumId="1">
    <w:nsid w:val="37804CAE"/>
    <w:multiLevelType w:val="singleLevel"/>
    <w:tmpl w:val="37804CAE"/>
    <w:lvl w:ilvl="0" w:tentative="0">
      <w:start w:val="1"/>
      <w:numFmt w:val="decimal"/>
      <w:suff w:val="space"/>
      <w:lvlText w:val="%1."/>
      <w:lvlJc w:val="left"/>
    </w:lvl>
  </w:abstractNum>
  <w:abstractNum w:abstractNumId="2">
    <w:nsid w:val="7D61F0E6"/>
    <w:multiLevelType w:val="singleLevel"/>
    <w:tmpl w:val="7D61F0E6"/>
    <w:lvl w:ilvl="0" w:tentative="0">
      <w:start w:val="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FDF"/>
    <w:rsid w:val="0003544B"/>
    <w:rsid w:val="00045BAD"/>
    <w:rsid w:val="000569C9"/>
    <w:rsid w:val="000633F6"/>
    <w:rsid w:val="00085586"/>
    <w:rsid w:val="000868CF"/>
    <w:rsid w:val="000935EA"/>
    <w:rsid w:val="000A3986"/>
    <w:rsid w:val="000D1CC7"/>
    <w:rsid w:val="001123D4"/>
    <w:rsid w:val="00151009"/>
    <w:rsid w:val="00166E9E"/>
    <w:rsid w:val="001C5DBF"/>
    <w:rsid w:val="001E01BE"/>
    <w:rsid w:val="00297B0D"/>
    <w:rsid w:val="002B2667"/>
    <w:rsid w:val="002D106A"/>
    <w:rsid w:val="00300703"/>
    <w:rsid w:val="00330744"/>
    <w:rsid w:val="00332F3A"/>
    <w:rsid w:val="003722C0"/>
    <w:rsid w:val="00382DAA"/>
    <w:rsid w:val="003B5A93"/>
    <w:rsid w:val="003D6887"/>
    <w:rsid w:val="0040420E"/>
    <w:rsid w:val="00426BBC"/>
    <w:rsid w:val="00440A7A"/>
    <w:rsid w:val="0046284C"/>
    <w:rsid w:val="00470652"/>
    <w:rsid w:val="0048209B"/>
    <w:rsid w:val="004C4365"/>
    <w:rsid w:val="00522B9F"/>
    <w:rsid w:val="00551C69"/>
    <w:rsid w:val="0059363C"/>
    <w:rsid w:val="00596483"/>
    <w:rsid w:val="005B43B8"/>
    <w:rsid w:val="005F2840"/>
    <w:rsid w:val="00692D0F"/>
    <w:rsid w:val="006C1A09"/>
    <w:rsid w:val="006D2F65"/>
    <w:rsid w:val="006D4EFA"/>
    <w:rsid w:val="006E10B0"/>
    <w:rsid w:val="006F445A"/>
    <w:rsid w:val="00715553"/>
    <w:rsid w:val="0072063D"/>
    <w:rsid w:val="00725DF0"/>
    <w:rsid w:val="00750311"/>
    <w:rsid w:val="007620AA"/>
    <w:rsid w:val="007E4ABB"/>
    <w:rsid w:val="008126A7"/>
    <w:rsid w:val="0087605F"/>
    <w:rsid w:val="0088749E"/>
    <w:rsid w:val="008A4967"/>
    <w:rsid w:val="008B3CC4"/>
    <w:rsid w:val="008C5B28"/>
    <w:rsid w:val="00917C93"/>
    <w:rsid w:val="0092495D"/>
    <w:rsid w:val="0094080D"/>
    <w:rsid w:val="009652A8"/>
    <w:rsid w:val="009A1AA1"/>
    <w:rsid w:val="009B0A4A"/>
    <w:rsid w:val="009F6C61"/>
    <w:rsid w:val="00A03B75"/>
    <w:rsid w:val="00A51064"/>
    <w:rsid w:val="00A57E48"/>
    <w:rsid w:val="00B10E15"/>
    <w:rsid w:val="00B173F3"/>
    <w:rsid w:val="00B25628"/>
    <w:rsid w:val="00B41385"/>
    <w:rsid w:val="00B509AD"/>
    <w:rsid w:val="00B9210D"/>
    <w:rsid w:val="00BB7EAB"/>
    <w:rsid w:val="00BC713D"/>
    <w:rsid w:val="00BE50D7"/>
    <w:rsid w:val="00C45842"/>
    <w:rsid w:val="00C940FC"/>
    <w:rsid w:val="00CB2FDF"/>
    <w:rsid w:val="00CF1D09"/>
    <w:rsid w:val="00CF3EDA"/>
    <w:rsid w:val="00D05C9D"/>
    <w:rsid w:val="00D178CF"/>
    <w:rsid w:val="00D4594D"/>
    <w:rsid w:val="00D80F2A"/>
    <w:rsid w:val="00D83079"/>
    <w:rsid w:val="00D85BF5"/>
    <w:rsid w:val="00D86689"/>
    <w:rsid w:val="00DA1D59"/>
    <w:rsid w:val="00DD0187"/>
    <w:rsid w:val="00DD18C1"/>
    <w:rsid w:val="00DE62BA"/>
    <w:rsid w:val="00E25847"/>
    <w:rsid w:val="00E37D65"/>
    <w:rsid w:val="00EB53A3"/>
    <w:rsid w:val="00EE02B8"/>
    <w:rsid w:val="00EE6C18"/>
    <w:rsid w:val="00F1155B"/>
    <w:rsid w:val="00F17D1F"/>
    <w:rsid w:val="00F25B2E"/>
    <w:rsid w:val="00F37ABF"/>
    <w:rsid w:val="00F42B1F"/>
    <w:rsid w:val="00F44AA2"/>
    <w:rsid w:val="00F727E2"/>
    <w:rsid w:val="00FB63E1"/>
    <w:rsid w:val="00FC530E"/>
    <w:rsid w:val="00FC5591"/>
    <w:rsid w:val="00FF20B0"/>
    <w:rsid w:val="07C064D5"/>
    <w:rsid w:val="0EF9741E"/>
    <w:rsid w:val="3A7405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imes New Roman" w:hAnsi="Times New Roman" w:eastAsiaTheme="minorEastAsia" w:cstheme="minorBidi"/>
      <w:sz w:val="22"/>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320"/>
        <w:tab w:val="right" w:pos="8640"/>
      </w:tabs>
      <w:spacing w:after="0" w:line="240" w:lineRule="auto"/>
    </w:pPr>
  </w:style>
  <w:style w:type="paragraph" w:styleId="3">
    <w:name w:val="header"/>
    <w:basedOn w:val="1"/>
    <w:link w:val="7"/>
    <w:unhideWhenUsed/>
    <w:uiPriority w:val="99"/>
    <w:pPr>
      <w:tabs>
        <w:tab w:val="center" w:pos="4320"/>
        <w:tab w:val="right" w:pos="8640"/>
      </w:tabs>
      <w:spacing w:after="0" w:line="240" w:lineRule="auto"/>
    </w:p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style>
  <w:style w:type="character" w:customStyle="1" w:styleId="8">
    <w:name w:val="页脚 字符"/>
    <w:basedOn w:val="6"/>
    <w:link w:val="2"/>
    <w:uiPriority w:val="99"/>
  </w:style>
  <w:style w:type="table" w:customStyle="1" w:styleId="9">
    <w:name w:val="网格型1"/>
    <w:basedOn w:val="4"/>
    <w:uiPriority w:val="39"/>
    <w:pPr>
      <w:spacing w:after="0" w:line="240" w:lineRule="auto"/>
    </w:pPr>
    <w:rPr>
      <w:rFonts w:ascii="Calibri" w:hAnsi="Calibri"/>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DA4A45-9801-4318-BCA4-B840E861D820}">
  <ds:schemaRefs/>
</ds:datastoreItem>
</file>

<file path=docProps/app.xml><?xml version="1.0" encoding="utf-8"?>
<Properties xmlns="http://schemas.openxmlformats.org/officeDocument/2006/extended-properties" xmlns:vt="http://schemas.openxmlformats.org/officeDocument/2006/docPropsVTypes">
  <Template>Normal.dotm</Template>
  <Pages>22</Pages>
  <Words>4825</Words>
  <Characters>26254</Characters>
  <Lines>222</Lines>
  <Paragraphs>62</Paragraphs>
  <TotalTime>229</TotalTime>
  <ScaleCrop>false</ScaleCrop>
  <LinksUpToDate>false</LinksUpToDate>
  <CharactersWithSpaces>30236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2021-05-01T20:09:00Z</dcterms:created>
  <dc:creator>Justin Jia</dc:creator>
  <cp:lastModifiedBy>猪头炸鸡</cp:lastModifiedBy>
  <dcterms:modified xsi:type="dcterms:W3CDTF">2021-05-02T03:48:42Z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ED981CE8C2B94835A8273B4C7AE9D385</vt:lpwstr>
  </property>
</Properties>
</file>