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600"/>
        <w:jc w:val="center"/>
      </w:pPr>
      <w:r>
        <w:rPr>
          <w:rFonts w:ascii="Arial" w:cs="Arial" w:eastAsia="Arial" w:hAnsi="Arial"/>
          <w:b/>
          <w:bCs/>
          <w:color w:val="1E3A5F"/>
          <w:sz w:val="54"/>
          <w:szCs w:val="54"/>
        </w:rPr>
        <w:t xml:space="preserve">FIBLAB ROBOT</w:t>
      </w:r>
    </w:p>
    <w:p>
      <w:pPr>
        <w:spacing w:after="160"/>
        <w:jc w:val="center"/>
      </w:pPr>
      <w:r>
        <w:rPr>
          <w:rFonts w:ascii="Arial" w:cs="Arial" w:eastAsia="Arial" w:hAnsi="Arial"/>
          <w:b/>
          <w:bCs/>
          <w:color w:val="C9852A"/>
          <w:sz w:val="30"/>
          <w:szCs w:val="30"/>
        </w:rPr>
        <w:t xml:space="preserve">Documentation Technique</w:t>
      </w:r>
    </w:p>
    <w:p>
      <w:pPr>
        <w:spacing w:after="160"/>
        <w:jc w:val="center"/>
      </w:pPr>
      <w:r>
        <w:rPr>
          <w:rFonts w:ascii="Arial" w:cs="Arial" w:eastAsia="Arial" w:hAnsi="Arial"/>
          <w:i/>
          <w:iCs/>
          <w:color w:val="595959"/>
          <w:sz w:val="22"/>
          <w:szCs w:val="22"/>
        </w:rPr>
        <w:t xml:space="preserve">Architecture, endpoints, évaluation des issues</w:t>
      </w:r>
    </w:p>
    <w:p>
      <w:pPr>
        <w:spacing w:after="500"/>
        <w:jc w:val="center"/>
      </w:pPr>
      <w:r>
        <w:rPr>
          <w:rFonts w:ascii="Arial" w:cs="Arial" w:eastAsia="Arial" w:hAnsi="Arial"/>
          <w:color w:val="595959"/>
          <w:sz w:val="20"/>
          <w:szCs w:val="20"/>
        </w:rPr>
        <w:t xml:space="preserve">Version 2.4.0 — Juin 2026</w:t>
      </w:r>
    </w:p>
    <w:p>
      <w:pPr>
        <w:pBdr>
          <w:bottom w:val="single" w:color="2E75B6" w:sz="6" w:space="1"/>
        </w:pBdr>
        <w:spacing w:after="180" w:before="180"/>
      </w:pPr>
    </w:p>
    <w:p>
      <w:pPr>
        <w:pStyle w:val="Heading1"/>
        <w:spacing w:after="180" w:before="380"/>
      </w:pPr>
      <w:r>
        <w:rPr>
          <w:rFonts w:ascii="Arial" w:cs="Arial" w:eastAsia="Arial" w:hAnsi="Arial"/>
          <w:b/>
          <w:bCs/>
          <w:color w:val="1E3A5F"/>
          <w:sz w:val="34"/>
          <w:szCs w:val="34"/>
        </w:rPr>
        <w:t xml:space="preserve">1. Vue d'ensemble</w:t>
      </w:r>
    </w:p>
    <w:p>
      <w:pPr>
        <w:spacing w:after="70" w:before="70"/>
      </w:pPr>
      <w:r>
        <w:rPr>
          <w:rFonts w:ascii="Arial" w:cs="Arial" w:eastAsia="Arial" w:hAnsi="Arial"/>
          <w:sz w:val="22"/>
          <w:szCs w:val="22"/>
        </w:rPr>
        <w:t xml:space="preserve">FibLab Robot est un serveur d'alertes de trading qui intercepte les signaux d'indicateurs TradingView, les analyse via un scoring de confluence, envoie des notifications Telegram personnalisées par utilisateur, puis évalue automatiquement l'issue de chaque alerte pour mesurer la performance réelle du scoring.</w:t>
      </w:r>
    </w:p>
    <w:p>
      <w:pPr>
        <w:pStyle w:val="Heading2"/>
        <w:spacing w:after="150" w:before="280"/>
      </w:pPr>
      <w:r>
        <w:rPr>
          <w:rFonts w:ascii="Arial" w:cs="Arial" w:eastAsia="Arial" w:hAnsi="Arial"/>
          <w:b/>
          <w:bCs/>
          <w:color w:val="2E75B6"/>
          <w:sz w:val="27"/>
          <w:szCs w:val="27"/>
        </w:rPr>
        <w:t xml:space="preserve">1.1 Pipeline global</w:t>
      </w:r>
    </w:p>
    <w:p>
      <w:pPr>
        <w:pStyle w:val="ListParagraph"/>
        <w:numPr>
          <w:ilvl w:val="0"/>
          <w:numId w:val="2"/>
        </w:numPr>
        <w:spacing w:after="50" w:before="50"/>
      </w:pPr>
      <w:r>
        <w:rPr>
          <w:rFonts w:ascii="Arial" w:cs="Arial" w:eastAsia="Arial" w:hAnsi="Arial"/>
          <w:sz w:val="22"/>
          <w:szCs w:val="22"/>
        </w:rPr>
        <w:t xml:space="preserve">TradingView détecte un niveau → envoie une alerte via webhook POST.</w:t>
      </w:r>
    </w:p>
    <w:p>
      <w:pPr>
        <w:pStyle w:val="ListParagraph"/>
        <w:numPr>
          <w:ilvl w:val="0"/>
          <w:numId w:val="2"/>
        </w:numPr>
        <w:spacing w:after="50" w:before="50"/>
      </w:pPr>
      <w:r>
        <w:rPr>
          <w:rFonts w:ascii="Arial" w:cs="Arial" w:eastAsia="Arial" w:hAnsi="Arial"/>
          <w:sz w:val="22"/>
          <w:szCs w:val="22"/>
        </w:rPr>
        <w:t xml:space="preserve">Le serveur Flask parse l'alerte, calcule un score de confluence.</w:t>
      </w:r>
    </w:p>
    <w:p>
      <w:pPr>
        <w:pStyle w:val="ListParagraph"/>
        <w:numPr>
          <w:ilvl w:val="0"/>
          <w:numId w:val="2"/>
        </w:numPr>
        <w:spacing w:after="50" w:before="50"/>
      </w:pPr>
      <w:r>
        <w:rPr>
          <w:rFonts w:ascii="Arial" w:cs="Arial" w:eastAsia="Arial" w:hAnsi="Arial"/>
          <w:sz w:val="22"/>
          <w:szCs w:val="22"/>
        </w:rPr>
        <w:t xml:space="preserve">Pour chaque utilisateur : filtrage selon son profil (mode, TF, pause).</w:t>
      </w:r>
    </w:p>
    <w:p>
      <w:pPr>
        <w:pStyle w:val="ListParagraph"/>
        <w:numPr>
          <w:ilvl w:val="0"/>
          <w:numId w:val="2"/>
        </w:numPr>
        <w:spacing w:after="50" w:before="50"/>
      </w:pPr>
      <w:r>
        <w:rPr>
          <w:rFonts w:ascii="Arial" w:cs="Arial" w:eastAsia="Arial" w:hAnsi="Arial"/>
          <w:sz w:val="22"/>
          <w:szCs w:val="22"/>
        </w:rPr>
        <w:t xml:space="preserve">Si l'alerte passe les filtres → notification Telegram personnalisée (avec retry).</w:t>
      </w:r>
    </w:p>
    <w:p>
      <w:pPr>
        <w:pStyle w:val="ListParagraph"/>
        <w:numPr>
          <w:ilvl w:val="0"/>
          <w:numId w:val="2"/>
        </w:numPr>
        <w:spacing w:after="50" w:before="50"/>
      </w:pPr>
      <w:r>
        <w:rPr>
          <w:rFonts w:ascii="Arial" w:cs="Arial" w:eastAsia="Arial" w:hAnsi="Arial"/>
          <w:sz w:val="22"/>
          <w:szCs w:val="22"/>
        </w:rPr>
        <w:t xml:space="preserve">L'alerte est persistée en SQLite (sur volume Railway).</w:t>
      </w:r>
    </w:p>
    <w:p>
      <w:pPr>
        <w:pStyle w:val="ListParagraph"/>
        <w:numPr>
          <w:ilvl w:val="0"/>
          <w:numId w:val="2"/>
        </w:numPr>
        <w:spacing w:after="50" w:before="50"/>
      </w:pPr>
      <w:r>
        <w:rPr>
          <w:rFonts w:ascii="Arial" w:cs="Arial" w:eastAsia="Arial" w:hAnsi="Arial"/>
          <w:sz w:val="22"/>
          <w:szCs w:val="22"/>
        </w:rPr>
        <w:t xml:space="preserve">Un cron appelle /evaluate : chaque alerte de +12h est notée win/loss/invalid via un flux de prix.</w:t>
      </w:r>
    </w:p>
    <w:p>
      <w:pPr>
        <w:pStyle w:val="ListParagraph"/>
        <w:numPr>
          <w:ilvl w:val="0"/>
          <w:numId w:val="2"/>
        </w:numPr>
        <w:spacing w:after="50" w:before="50"/>
      </w:pPr>
      <w:r>
        <w:rPr>
          <w:rFonts w:ascii="Arial" w:cs="Arial" w:eastAsia="Arial" w:hAnsi="Arial"/>
          <w:sz w:val="22"/>
          <w:szCs w:val="22"/>
        </w:rPr>
        <w:t xml:space="preserve">Le tableau de bord /stats_view affiche le win rate par score/type/TF pour calibrer les poids.</w:t>
      </w:r>
    </w:p>
    <w:p>
      <w:pPr>
        <w:pStyle w:val="Heading2"/>
        <w:spacing w:after="150" w:before="280"/>
      </w:pPr>
      <w:r>
        <w:rPr>
          <w:rFonts w:ascii="Arial" w:cs="Arial" w:eastAsia="Arial" w:hAnsi="Arial"/>
          <w:b/>
          <w:bCs/>
          <w:color w:val="2E75B6"/>
          <w:sz w:val="27"/>
          <w:szCs w:val="27"/>
        </w:rPr>
        <w:t xml:space="preserve">1.2 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Composant</w:t>
            </w:r>
          </w:p>
        </w:tc>
        <w:tc>
          <w:tcPr>
            <w:tcW w:type="dxa" w:w="312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Technologie</w:t>
            </w:r>
          </w:p>
        </w:tc>
        <w:tc>
          <w:tcPr>
            <w:tcW w:type="dxa" w:w="312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Rôle</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Serveur</w:t>
            </w:r>
          </w:p>
        </w:tc>
        <w:tc>
          <w:tcPr>
            <w:tcW w:type="dxa" w:w="312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Python 3 / Flask</w:t>
            </w:r>
          </w:p>
        </w:tc>
        <w:tc>
          <w:tcPr>
            <w:tcW w:type="dxa" w:w="312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Réception et traitement des webhooks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Hébergement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Railway.app (Gunicorn, 1 worker)</w:t>
            </w:r>
          </w:p>
        </w:tc>
        <w:tc>
          <w:tcPr>
            <w:tcW w:type="dxa" w:w="312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Déploiement cloud, URL publique</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Persistance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SQLite sur volume Railway</w:t>
            </w:r>
          </w:p>
        </w:tc>
        <w:tc>
          <w:tcPr>
            <w:tcW w:type="dxa" w:w="312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Alertes, issues, profils (durables)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Notifications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Telegram Bot API</w:t>
            </w:r>
          </w:p>
        </w:tc>
        <w:tc>
          <w:tcPr>
            <w:tcW w:type="dxa" w:w="312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Alertes mobiles temps réel</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Prix</w:t>
            </w:r>
          </w:p>
        </w:tc>
        <w:tc>
          <w:tcPr>
            <w:tcW w:type="dxa" w:w="312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Twelve Data (ou Yahoo en repli)</w:t>
            </w:r>
          </w:p>
        </w:tc>
        <w:tc>
          <w:tcPr>
            <w:tcW w:type="dxa" w:w="312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Évaluation des issues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Versioning</w:t>
            </w:r>
          </w:p>
        </w:tc>
        <w:tc>
          <w:tcPr>
            <w:tcW w:type="dxa" w:w="312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GitHub → déploiement auto</w:t>
            </w:r>
          </w:p>
        </w:tc>
        <w:tc>
          <w:tcPr>
            <w:tcW w:type="dxa" w:w="312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Déploiement à chaque commit sur main</w:t>
            </w:r>
          </w:p>
        </w:tc>
      </w:tr>
    </w:tbl>
    <w:p>
      <w:pPr>
        <w:pBdr>
          <w:bottom w:val="single" w:color="2E75B6" w:sz="6" w:space="1"/>
        </w:pBdr>
        <w:spacing w:after="180" w:before="180"/>
      </w:pPr>
    </w:p>
    <w:p>
      <w:pPr>
        <w:pStyle w:val="Heading1"/>
        <w:spacing w:after="180" w:before="380"/>
      </w:pPr>
      <w:r>
        <w:rPr>
          <w:rFonts w:ascii="Arial" w:cs="Arial" w:eastAsia="Arial" w:hAnsi="Arial"/>
          <w:b/>
          <w:bCs/>
          <w:color w:val="1E3A5F"/>
          <w:sz w:val="34"/>
          <w:szCs w:val="34"/>
        </w:rPr>
        <w:t xml:space="preserve">2. Variables d'environnement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Variable</w:t>
            </w:r>
          </w:p>
        </w:tc>
        <w:tc>
          <w:tcPr>
            <w:tcW w:type="dxa" w:w="312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Description</w:t>
            </w:r>
          </w:p>
        </w:tc>
        <w:tc>
          <w:tcPr>
            <w:tcW w:type="dxa" w:w="312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Requis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TELEGRAM_TOKEN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Token du bot Telegram (@BotFather)</w:t>
            </w:r>
          </w:p>
        </w:tc>
        <w:tc>
          <w:tcPr>
            <w:tcW w:type="dxa" w:w="312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Oui</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TELEGRAM_CHAT_ID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Chat ID de l'utilisateur principal (admin)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Oui</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TELEGRAM_CHAT_ID_2</w:t>
            </w:r>
          </w:p>
        </w:tc>
        <w:tc>
          <w:tcPr>
            <w:tcW w:type="dxa" w:w="312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Chat ID secondaire (PRIORITAIRES uniquement)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Optionnel</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WEBHOOK_SECRET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Secret partagé ; si défini, /webhook exige ?token=…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Recommandé</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DB_PATH</w:t>
            </w:r>
          </w:p>
        </w:tc>
        <w:tc>
          <w:tcPr>
            <w:tcW w:type="dxa" w:w="312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Chemin de la base SQLite — pointer sur le volume : /data/fiblab.db</w:t>
            </w:r>
          </w:p>
        </w:tc>
        <w:tc>
          <w:tcPr>
            <w:tcW w:type="dxa" w:w="312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Oui</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TWELVEDATA_API_KEY</w:t>
            </w:r>
          </w:p>
        </w:tc>
        <w:tc>
          <w:tcPr>
            <w:tcW w:type="dxa" w:w="312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Clé Twelve Data ; si absente, repli sur Yahoo (keyless)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Optionnel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F2F2F2" w:val="clear"/>
            <w:tcMar>
              <w:top w:type="dxa" w:w="110"/>
              <w:left w:type="dxa" w:w="150"/>
              <w:bottom w:type="dxa" w:w="110"/>
              <w:right w:type="dxa" w:w="70"/>
            </w:tcMar>
          </w:tcPr>
          <w:p>
            <w:pPr>
              <w:jc w:val="center"/>
            </w:pPr>
            <w:r>
              <w:rPr>
                <w:rFonts w:ascii="Arial" w:cs="Arial" w:eastAsia="Arial" w:hAnsi="Arial"/>
                <w:sz w:val="26"/>
                <w:szCs w:val="26"/>
              </w:rPr>
              <w:t xml:space="preserve">⚠️</w:t>
            </w:r>
          </w:p>
        </w:tc>
        <w:tc>
          <w:tcPr>
            <w:tcW w:type="dxa" w:w="8800"/>
            <w:tcBorders>
              <w:top w:val="single" w:color="CCCCCC" w:sz="1"/>
              <w:left w:val="single" w:color="CCCCCC" w:sz="1"/>
              <w:bottom w:val="single" w:color="CCCCCC" w:sz="1"/>
              <w:right w:val="single" w:color="CCCCCC" w:sz="1"/>
            </w:tcBorders>
            <w:shd w:fill="F2F2F2" w:val="clear"/>
            <w:tcMar>
              <w:top w:type="dxa" w:w="110"/>
              <w:left w:type="dxa" w:w="150"/>
              <w:bottom w:type="dxa" w:w="110"/>
              <w:right w:type="dxa" w:w="150"/>
            </w:tcMar>
          </w:tcPr>
          <w:p>
            <w:r>
              <w:rPr>
                <w:rFonts w:ascii="Arial" w:cs="Arial" w:eastAsia="Arial" w:hAnsi="Arial"/>
                <w:b/>
                <w:bCs/>
                <w:color w:val="E67E22"/>
                <w:sz w:val="22"/>
                <w:szCs w:val="22"/>
              </w:rPr>
              <w:t xml:space="preserve">DB_PATH et persistance</w:t>
            </w:r>
          </w:p>
          <w:p>
            <w:r>
              <w:rPr>
                <w:rFonts w:ascii="Arial" w:cs="Arial" w:eastAsia="Arial" w:hAnsi="Arial"/>
                <w:sz w:val="20"/>
                <w:szCs w:val="20"/>
              </w:rPr>
              <w:t xml:space="preserve">Sur Railway le filesystem est éphémère. DB_PATH doit pointer sur un volume monté (ex. /data/fiblab.db), sinon la base est effacée à chaque redéploiement.</w:t>
            </w:r>
          </w:p>
        </w:tc>
      </w:tr>
    </w:tbl>
    <w:p>
      <w:pPr>
        <w:pBdr>
          <w:bottom w:val="single" w:color="2E75B6" w:sz="6" w:space="1"/>
        </w:pBdr>
        <w:spacing w:after="180" w:before="180"/>
      </w:pPr>
    </w:p>
    <w:p>
      <w:pPr>
        <w:pStyle w:val="Heading1"/>
        <w:spacing w:after="180" w:before="380"/>
      </w:pPr>
      <w:r>
        <w:rPr>
          <w:rFonts w:ascii="Arial" w:cs="Arial" w:eastAsia="Arial" w:hAnsi="Arial"/>
          <w:b/>
          <w:bCs/>
          <w:color w:val="1E3A5F"/>
          <w:sz w:val="34"/>
          <w:szCs w:val="34"/>
        </w:rPr>
        <w:t xml:space="preserve">3. Persistance SQLite</w:t>
      </w:r>
    </w:p>
    <w:p>
      <w:pPr>
        <w:spacing w:after="70" w:before="70"/>
      </w:pPr>
      <w:r>
        <w:rPr>
          <w:rFonts w:ascii="Arial" w:cs="Arial" w:eastAsia="Arial" w:hAnsi="Arial"/>
          <w:sz w:val="22"/>
          <w:szCs w:val="22"/>
        </w:rPr>
        <w:t xml:space="preserve">Trois tables, créées au démarrage par init_db(). Au boot, les profils et les 200 dernières alertes sont rechargés en mémoire (le dashboard survit aux redéploiements).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Table</w:t>
            </w:r>
          </w:p>
        </w:tc>
        <w:tc>
          <w:tcPr>
            <w:tcW w:type="dxa" w:w="716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Contenu</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alerts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Une ligne par alerte : ts, asset, grp, timeframe, type, side, price, scope, score, level</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outcomes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Issue d'une alerte : status (pending/win/loss/invalid), mfe_pts, mae_pts, r_realized, note</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profiles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Profil utilisateur : chat_id, mode, paused, tf_custom (persistant entre redéploiements)</w:t>
            </w:r>
          </w:p>
        </w:tc>
      </w:tr>
    </w:tbl>
    <w:p>
      <w:pPr>
        <w:spacing w:after="70" w:before="70"/>
      </w:pPr>
      <w:r>
        <w:rPr>
          <w:rFonts w:ascii="Arial" w:cs="Arial" w:eastAsia="Arial" w:hAnsi="Arial"/>
          <w:sz w:val="22"/>
          <w:szCs w:val="22"/>
        </w:rPr>
        <w:t xml:space="preserve">Accès via une connexion par requête. Avec 1 worker Gunicorn, les écritures sont sérialisées (risque de verrou négligeable).</w:t>
      </w:r>
    </w:p>
    <w:p>
      <w:pPr>
        <w:pBdr>
          <w:bottom w:val="single" w:color="2E75B6" w:sz="6" w:space="1"/>
        </w:pBdr>
        <w:spacing w:after="180" w:before="180"/>
      </w:pPr>
    </w:p>
    <w:p>
      <w:pPr>
        <w:pStyle w:val="Heading1"/>
        <w:spacing w:after="180" w:before="380"/>
      </w:pPr>
      <w:r>
        <w:rPr>
          <w:rFonts w:ascii="Arial" w:cs="Arial" w:eastAsia="Arial" w:hAnsi="Arial"/>
          <w:b/>
          <w:bCs/>
          <w:color w:val="1E3A5F"/>
          <w:sz w:val="34"/>
          <w:szCs w:val="34"/>
        </w:rPr>
        <w:t xml:space="preserve">4. Parser</w:t>
      </w:r>
    </w:p>
    <w:p>
      <w:pPr>
        <w:pStyle w:val="Heading2"/>
        <w:spacing w:after="150" w:before="280"/>
      </w:pPr>
      <w:r>
        <w:rPr>
          <w:rFonts w:ascii="Arial" w:cs="Arial" w:eastAsia="Arial" w:hAnsi="Arial"/>
          <w:b/>
          <w:bCs/>
          <w:color w:val="2E75B6"/>
          <w:sz w:val="27"/>
          <w:szCs w:val="27"/>
        </w:rPr>
        <w:t xml:space="preserve">4.1 Formats reconnus</w:t>
      </w:r>
    </w:p>
    <w:p>
      <w:pPr>
        <w:spacing w:after="50" w:before="50"/>
        <w:ind w:left="520"/>
      </w:pPr>
      <w:r>
        <w:rPr>
          <w:rFonts w:ascii="Courier New" w:cs="Courier New" w:eastAsia="Courier New" w:hAnsi="Courier New"/>
          <w:color w:val="C0392B"/>
          <w:sz w:val="19"/>
          <w:szCs w:val="19"/>
        </w:rPr>
        <w:t xml:space="preserve">Origin First Touch — XAUUSD H4 | Side: Support | Price: 3325.00 | Scope: Pure</w:t>
      </w:r>
    </w:p>
    <w:p>
      <w:pPr>
        <w:spacing w:after="50" w:before="50"/>
        <w:ind w:left="520"/>
      </w:pPr>
      <w:r>
        <w:rPr>
          <w:rFonts w:ascii="Courier New" w:cs="Courier New" w:eastAsia="Courier New" w:hAnsi="Courier New"/>
          <w:color w:val="C0392B"/>
          <w:sz w:val="19"/>
          <w:szCs w:val="19"/>
        </w:rPr>
        <w:t xml:space="preserve">Broken First Touch — SOLUSDT.P 240 | Side: Resistance | Price: 142.50 | Scope: Non-Pure</w:t>
      </w:r>
    </w:p>
    <w:p>
      <w:pPr>
        <w:spacing w:after="70" w:before="70"/>
      </w:pPr>
      <w:r>
        <w:rPr>
          <w:rFonts w:ascii="Arial" w:cs="Arial" w:eastAsia="Arial" w:hAnsi="Arial"/>
          <w:sz w:val="22"/>
          <w:szCs w:val="22"/>
        </w:rPr>
        <w:t xml:space="preserve">Format ATR Proximity (multiligne) :</w:t>
      </w:r>
    </w:p>
    <w:p>
      <w:pPr>
        <w:spacing w:after="50" w:before="50"/>
        <w:ind w:left="520"/>
      </w:pPr>
      <w:r>
        <w:rPr>
          <w:rFonts w:ascii="Courier New" w:cs="Courier New" w:eastAsia="Courier New" w:hAnsi="Courier New"/>
          <w:color w:val="C0392B"/>
          <w:sz w:val="19"/>
          <w:szCs w:val="19"/>
        </w:rPr>
        <w:t xml:space="preserve">Origin ATR PROXIMITY / TF: 2D / Side: Support / Origin entry nearby: 55.555 / Distance: 3.56x ATR</w:t>
      </w:r>
    </w:p>
    <w:p>
      <w:pPr>
        <w:pStyle w:val="Heading2"/>
        <w:spacing w:after="150" w:before="280"/>
      </w:pPr>
      <w:r>
        <w:rPr>
          <w:rFonts w:ascii="Arial" w:cs="Arial" w:eastAsia="Arial" w:hAnsi="Arial"/>
          <w:b/>
          <w:bCs/>
          <w:color w:val="2E75B6"/>
          <w:sz w:val="27"/>
          <w:szCs w:val="27"/>
        </w:rPr>
        <w:t xml:space="preserve">4.2 Normalisation des timeframes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TradingView</w:t>
            </w:r>
          </w:p>
        </w:tc>
        <w:tc>
          <w:tcPr>
            <w:tcW w:type="dxa" w:w="234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Robot</w:t>
            </w:r>
          </w:p>
        </w:tc>
        <w:tc>
          <w:tcPr>
            <w:tcW w:type="dxa" w:w="234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TradingView</w:t>
            </w:r>
          </w:p>
        </w:tc>
        <w:tc>
          <w:tcPr>
            <w:tcW w:type="dxa" w:w="234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Robot</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60</w:t>
            </w:r>
          </w:p>
        </w:tc>
        <w:tc>
          <w:tcPr>
            <w:tcW w:type="dxa" w:w="234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H1</w:t>
            </w:r>
          </w:p>
        </w:tc>
        <w:tc>
          <w:tcPr>
            <w:tcW w:type="dxa" w:w="234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240</w:t>
            </w:r>
          </w:p>
        </w:tc>
        <w:tc>
          <w:tcPr>
            <w:tcW w:type="dxa" w:w="234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H4</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720</w:t>
            </w:r>
          </w:p>
        </w:tc>
        <w:tc>
          <w:tcPr>
            <w:tcW w:type="dxa" w:w="234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H12</w:t>
            </w:r>
          </w:p>
        </w:tc>
        <w:tc>
          <w:tcPr>
            <w:tcW w:type="dxa" w:w="234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1440</w:t>
            </w:r>
          </w:p>
        </w:tc>
        <w:tc>
          <w:tcPr>
            <w:tcW w:type="dxa" w:w="234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D1</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2880</w:t>
            </w:r>
          </w:p>
        </w:tc>
        <w:tc>
          <w:tcPr>
            <w:tcW w:type="dxa" w:w="234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2D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10080</w:t>
            </w:r>
          </w:p>
        </w:tc>
        <w:tc>
          <w:tcPr>
            <w:tcW w:type="dxa" w:w="234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W1</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72</w:t>
            </w:r>
          </w:p>
        </w:tc>
        <w:tc>
          <w:tcPr>
            <w:tcW w:type="dxa" w:w="234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72m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144</w:t>
            </w:r>
          </w:p>
        </w:tc>
        <w:tc>
          <w:tcPr>
            <w:tcW w:type="dxa" w:w="234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144m</w:t>
            </w:r>
          </w:p>
        </w:tc>
      </w:tr>
    </w:tbl>
    <w:p>
      <w:pPr>
        <w:pBdr>
          <w:bottom w:val="single" w:color="2E75B6" w:sz="6" w:space="1"/>
        </w:pBdr>
        <w:spacing w:after="180" w:before="180"/>
      </w:pPr>
    </w:p>
    <w:p>
      <w:pPr>
        <w:pStyle w:val="Heading1"/>
        <w:spacing w:after="180" w:before="380"/>
      </w:pPr>
      <w:r>
        <w:rPr>
          <w:rFonts w:ascii="Arial" w:cs="Arial" w:eastAsia="Arial" w:hAnsi="Arial"/>
          <w:b/>
          <w:bCs/>
          <w:color w:val="1E3A5F"/>
          <w:sz w:val="34"/>
          <w:szCs w:val="34"/>
        </w:rPr>
        <w:t xml:space="preserve">5. Scoring</w:t>
      </w:r>
    </w:p>
    <w:p>
      <w:pPr>
        <w:pStyle w:val="Heading2"/>
        <w:spacing w:after="150" w:before="280"/>
      </w:pPr>
      <w:r>
        <w:rPr>
          <w:rFonts w:ascii="Arial" w:cs="Arial" w:eastAsia="Arial" w:hAnsi="Arial"/>
          <w:b/>
          <w:bCs/>
          <w:color w:val="2E75B6"/>
          <w:sz w:val="27"/>
          <w:szCs w:val="27"/>
        </w:rPr>
        <w:t xml:space="preserve">5.1 Score par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Type d'alerte</w:t>
            </w:r>
          </w:p>
        </w:tc>
        <w:tc>
          <w:tcPr>
            <w:tcW w:type="dxa" w:w="468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Score</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Origin Untouched</w:t>
            </w:r>
          </w:p>
        </w:tc>
        <w:tc>
          <w:tcPr>
            <w:tcW w:type="dxa" w:w="468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+5</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Origin First Touch / Broken Origin First Touch</w:t>
            </w:r>
          </w:p>
        </w:tc>
        <w:tc>
          <w:tcPr>
            <w:tcW w:type="dxa" w:w="468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+4</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ATR Proximity / Broken First Touch / Break First Touch</w:t>
            </w:r>
          </w:p>
        </w:tc>
        <w:tc>
          <w:tcPr>
            <w:tcW w:type="dxa" w:w="468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+3</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Break Created / Origin Broken / BSUT Created</w:t>
            </w:r>
          </w:p>
        </w:tc>
        <w:tc>
          <w:tcPr>
            <w:tcW w:type="dxa" w:w="468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+2</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Origin Touched</w:t>
            </w:r>
          </w:p>
        </w:tc>
        <w:tc>
          <w:tcPr>
            <w:tcW w:type="dxa" w:w="468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+1</w:t>
            </w:r>
          </w:p>
        </w:tc>
      </w:tr>
    </w:tbl>
    <w:p>
      <w:pPr>
        <w:pStyle w:val="Heading2"/>
        <w:spacing w:after="150" w:before="280"/>
      </w:pPr>
      <w:r>
        <w:rPr>
          <w:rFonts w:ascii="Arial" w:cs="Arial" w:eastAsia="Arial" w:hAnsi="Arial"/>
          <w:b/>
          <w:bCs/>
          <w:color w:val="2E75B6"/>
          <w:sz w:val="27"/>
          <w:szCs w:val="27"/>
        </w:rPr>
        <w:t xml:space="preserve">5.2 Bonus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Critère</w:t>
            </w:r>
          </w:p>
        </w:tc>
        <w:tc>
          <w:tcPr>
            <w:tcW w:type="dxa" w:w="468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Bonus</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Scope Pure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+2</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First Touch (première visite)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+2</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TF M5→M45</w:t>
            </w:r>
          </w:p>
        </w:tc>
        <w:tc>
          <w:tcPr>
            <w:tcW w:type="dxa" w:w="468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+1</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TF H1/H2/H3</w:t>
            </w:r>
          </w:p>
        </w:tc>
        <w:tc>
          <w:tcPr>
            <w:tcW w:type="dxa" w:w="468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+2</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TF H4→H12</w:t>
            </w:r>
          </w:p>
        </w:tc>
        <w:tc>
          <w:tcPr>
            <w:tcW w:type="dxa" w:w="468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+3</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TF D1→D7 / W1 / Mensuel</w:t>
            </w:r>
          </w:p>
        </w:tc>
        <w:tc>
          <w:tcPr>
            <w:tcW w:type="dxa" w:w="468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+4 (D3-D7 = +5)</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TF custom 72/90/96m</w:t>
            </w:r>
          </w:p>
        </w:tc>
        <w:tc>
          <w:tcPr>
            <w:tcW w:type="dxa" w:w="468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+1</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TF custom 144/160/288m</w:t>
            </w:r>
          </w:p>
        </w:tc>
        <w:tc>
          <w:tcPr>
            <w:tcW w:type="dxa" w:w="468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F2F2F2" w:val="clear"/>
            <w:tcMar>
              <w:top w:type="dxa" w:w="110"/>
              <w:left w:type="dxa" w:w="150"/>
              <w:bottom w:type="dxa" w:w="110"/>
              <w:right w:type="dxa" w:w="70"/>
            </w:tcMar>
          </w:tcPr>
          <w:p>
            <w:pPr>
              <w:jc w:val="center"/>
            </w:pPr>
            <w:r>
              <w:rPr>
                <w:rFonts w:ascii="Arial" w:cs="Arial" w:eastAsia="Arial" w:hAnsi="Arial"/>
                <w:sz w:val="26"/>
                <w:szCs w:val="26"/>
              </w:rPr>
              <w:t xml:space="preserve">✅</w:t>
            </w:r>
          </w:p>
        </w:tc>
        <w:tc>
          <w:tcPr>
            <w:tcW w:type="dxa" w:w="8800"/>
            <w:tcBorders>
              <w:top w:val="single" w:color="CCCCCC" w:sz="1"/>
              <w:left w:val="single" w:color="CCCCCC" w:sz="1"/>
              <w:bottom w:val="single" w:color="CCCCCC" w:sz="1"/>
              <w:right w:val="single" w:color="CCCCCC" w:sz="1"/>
            </w:tcBorders>
            <w:shd w:fill="F2F2F2" w:val="clear"/>
            <w:tcMar>
              <w:top w:type="dxa" w:w="110"/>
              <w:left w:type="dxa" w:w="150"/>
              <w:bottom w:type="dxa" w:w="110"/>
              <w:right w:type="dxa" w:w="150"/>
            </w:tcMar>
          </w:tcPr>
          <w:p>
            <w:r>
              <w:rPr>
                <w:rFonts w:ascii="Arial" w:cs="Arial" w:eastAsia="Arial" w:hAnsi="Arial"/>
                <w:b/>
                <w:bCs/>
                <w:color w:val="1A7A4A"/>
                <w:sz w:val="22"/>
                <w:szCs w:val="22"/>
              </w:rPr>
              <w:t xml:space="preserve">Correctif v2.2.0</w:t>
            </w:r>
          </w:p>
          <w:p>
            <w:r>
              <w:rPr>
                <w:rFonts w:ascii="Arial" w:cs="Arial" w:eastAsia="Arial" w:hAnsi="Arial"/>
                <w:sz w:val="20"/>
                <w:szCs w:val="20"/>
              </w:rPr>
              <w:t xml:space="preserve">Les timeframes 6D et 7D (D6/D7) sont désormais pondérés (+5). Auparavant ils scoraient 0 et n'atteignaient jamais PRIORITAIRE, alors que ce sont les niveaux les plus forts de la méthode.</w:t>
            </w:r>
          </w:p>
        </w:tc>
      </w:tr>
    </w:tbl>
    <w:p>
      <w:pPr>
        <w:pStyle w:val="Heading2"/>
        <w:spacing w:after="150" w:before="280"/>
      </w:pPr>
      <w:r>
        <w:rPr>
          <w:rFonts w:ascii="Arial" w:cs="Arial" w:eastAsia="Arial" w:hAnsi="Arial"/>
          <w:b/>
          <w:bCs/>
          <w:color w:val="2E75B6"/>
          <w:sz w:val="27"/>
          <w:szCs w:val="27"/>
        </w:rPr>
        <w:t xml:space="preserve">5.3 Niveaux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Score</w:t>
            </w:r>
          </w:p>
        </w:tc>
        <w:tc>
          <w:tcPr>
            <w:tcW w:type="dxa" w:w="312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Niveau</w:t>
            </w:r>
          </w:p>
        </w:tc>
        <w:tc>
          <w:tcPr>
            <w:tcW w:type="dxa" w:w="312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Notification</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8 et +</w:t>
            </w:r>
          </w:p>
        </w:tc>
        <w:tc>
          <w:tcPr>
            <w:tcW w:type="dxa" w:w="312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PRIORITAIRE 🔴</w:t>
            </w:r>
          </w:p>
        </w:tc>
        <w:tc>
          <w:tcPr>
            <w:tcW w:type="dxa" w:w="312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Tous les utilisateurs (selon profil)</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5 à 7</w:t>
            </w:r>
          </w:p>
        </w:tc>
        <w:tc>
          <w:tcPr>
            <w:tcW w:type="dxa" w:w="312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SECONDAIRE ⚠️</w:t>
            </w:r>
          </w:p>
        </w:tc>
        <w:tc>
          <w:tcPr>
            <w:tcW w:type="dxa" w:w="312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Utilisateur principal seulement</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&lt; 5</w:t>
            </w:r>
          </w:p>
        </w:tc>
        <w:tc>
          <w:tcPr>
            <w:tcW w:type="dxa" w:w="312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INFO 📊</w:t>
            </w:r>
          </w:p>
        </w:tc>
        <w:tc>
          <w:tcPr>
            <w:tcW w:type="dxa" w:w="312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Enregistré, non notifié</w:t>
            </w:r>
          </w:p>
        </w:tc>
      </w:tr>
    </w:tbl>
    <w:p>
      <w:pPr>
        <w:pBdr>
          <w:bottom w:val="single" w:color="2E75B6" w:sz="6" w:space="1"/>
        </w:pBdr>
        <w:spacing w:after="180" w:before="180"/>
      </w:pPr>
    </w:p>
    <w:p>
      <w:pPr>
        <w:pStyle w:val="Heading1"/>
        <w:spacing w:after="180" w:before="380"/>
      </w:pPr>
      <w:r>
        <w:rPr>
          <w:rFonts w:ascii="Arial" w:cs="Arial" w:eastAsia="Arial" w:hAnsi="Arial"/>
          <w:b/>
          <w:bCs/>
          <w:color w:val="1E3A5F"/>
          <w:sz w:val="34"/>
          <w:szCs w:val="34"/>
        </w:rPr>
        <w:t xml:space="preserve">6. Filtres par profil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Mode</w:t>
            </w:r>
          </w:p>
        </w:tc>
        <w:tc>
          <w:tcPr>
            <w:tcW w:type="dxa" w:w="756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Timeframes acceptés</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swing</w:t>
            </w:r>
          </w:p>
        </w:tc>
        <w:tc>
          <w:tcPr>
            <w:tcW w:type="dxa" w:w="75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H4, H6, H8, H12, D1→D7, W1, MN</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scalp</w:t>
            </w:r>
          </w:p>
        </w:tc>
        <w:tc>
          <w:tcPr>
            <w:tcW w:type="dxa" w:w="75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M1→M45, H1, H2, H3, H4</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both</w:t>
            </w:r>
          </w:p>
        </w:tc>
        <w:tc>
          <w:tcPr>
            <w:tcW w:type="dxa" w:w="75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Tous (union)</w:t>
            </w:r>
          </w:p>
        </w:tc>
      </w:tr>
    </w:tbl>
    <w:p>
      <w:pPr>
        <w:spacing w:after="70" w:before="70"/>
      </w:pPr>
      <w:r>
        <w:rPr>
          <w:rFonts w:ascii="Arial" w:cs="Arial" w:eastAsia="Arial" w:hAnsi="Arial"/>
          <w:sz w:val="22"/>
          <w:szCs w:val="22"/>
        </w:rPr>
        <w:t xml:space="preserve">H4 est dans les deux modes (timeframe pivot). Règles par type : Break Created toujours ignoré ; Origin Touched seulement en Daily+ ; BSUT Created seulement si score ≥ 6 ; TF custom seulement si activés dans le profil.</w:t>
      </w:r>
    </w:p>
    <w:p>
      <w:pPr>
        <w:pBdr>
          <w:bottom w:val="single" w:color="2E75B6" w:sz="6" w:space="1"/>
        </w:pBdr>
        <w:spacing w:after="180" w:before="180"/>
      </w:pPr>
    </w:p>
    <w:p>
      <w:pPr>
        <w:pStyle w:val="Heading1"/>
        <w:spacing w:after="180" w:before="380"/>
      </w:pPr>
      <w:r>
        <w:rPr>
          <w:rFonts w:ascii="Arial" w:cs="Arial" w:eastAsia="Arial" w:hAnsi="Arial"/>
          <w:b/>
          <w:bCs/>
          <w:color w:val="1E3A5F"/>
          <w:sz w:val="34"/>
          <w:szCs w:val="34"/>
        </w:rPr>
        <w:t xml:space="preserve">7. Endpoints</w:t>
      </w:r>
    </w:p>
    <w:p>
      <w:pPr>
        <w:pStyle w:val="Heading2"/>
        <w:spacing w:after="150" w:before="280"/>
      </w:pPr>
      <w:r>
        <w:rPr>
          <w:rFonts w:ascii="Arial" w:cs="Arial" w:eastAsia="Arial" w:hAnsi="Arial"/>
          <w:b/>
          <w:bCs/>
          <w:color w:val="2E75B6"/>
          <w:sz w:val="27"/>
          <w:szCs w:val="27"/>
        </w:rPr>
        <w:t xml:space="preserve">7.1 Webhooks &amp; commandes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Endpoint</w:t>
            </w:r>
          </w:p>
        </w:tc>
        <w:tc>
          <w:tcPr>
            <w:tcW w:type="dxa" w:w="312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Méthode</w:t>
            </w:r>
          </w:p>
        </w:tc>
        <w:tc>
          <w:tcPr>
            <w:tcW w:type="dxa" w:w="312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Description</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/webhook</w:t>
            </w:r>
          </w:p>
        </w:tc>
        <w:tc>
          <w:tcPr>
            <w:tcW w:type="dxa" w:w="312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Reçoit les alertes TradingView (gated WEBHOOK_SECRET)</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/telegram_update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Reçoit les commandes du bot Telegram</w:t>
            </w:r>
          </w:p>
        </w:tc>
      </w:tr>
    </w:tbl>
    <w:p>
      <w:pPr>
        <w:pStyle w:val="Heading2"/>
        <w:spacing w:after="150" w:before="280"/>
      </w:pPr>
      <w:r>
        <w:rPr>
          <w:rFonts w:ascii="Arial" w:cs="Arial" w:eastAsia="Arial" w:hAnsi="Arial"/>
          <w:b/>
          <w:bCs/>
          <w:color w:val="2E75B6"/>
          <w:sz w:val="27"/>
          <w:szCs w:val="27"/>
        </w:rPr>
        <w:t xml:space="preserve">7.2 Évaluation &amp; statistiques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Endpoint</w:t>
            </w:r>
          </w:p>
        </w:tc>
        <w:tc>
          <w:tcPr>
            <w:tcW w:type="dxa" w:w="676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/evaluate</w:t>
            </w:r>
          </w:p>
        </w:tc>
        <w:tc>
          <w:tcPr>
            <w:tcW w:type="dxa" w:w="67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Évalue les issues 'pending' de +12h (à pinger via cron). Renvoie le nb traité</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/stats</w:t>
            </w:r>
          </w:p>
        </w:tc>
        <w:tc>
          <w:tcPr>
            <w:tcW w:type="dxa" w:w="67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Win rate par score / type / TF (JSON)</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/stats_view</w:t>
            </w:r>
          </w:p>
        </w:tc>
        <w:tc>
          <w:tcPr>
            <w:tcW w:type="dxa" w:w="67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Tableau de bord HTML de calibration (graphiques)</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/price_test</w:t>
            </w:r>
          </w:p>
        </w:tc>
        <w:tc>
          <w:tcPr>
            <w:tcW w:type="dxa" w:w="67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Vérifie que la source de prix répond</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/db_count</w:t>
            </w:r>
          </w:p>
        </w:tc>
        <w:tc>
          <w:tcPr>
            <w:tcW w:type="dxa" w:w="67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Compte réel des lignes en base (preuve de persistance)</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/outcome/&lt;id&gt;</w:t>
            </w:r>
          </w:p>
        </w:tc>
        <w:tc>
          <w:tcPr>
            <w:tcW w:type="dxa" w:w="67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POST — tag manuel d'une issue (win/loss/invalid)</w:t>
            </w:r>
          </w:p>
        </w:tc>
      </w:tr>
    </w:tbl>
    <w:p>
      <w:pPr>
        <w:pStyle w:val="Heading2"/>
        <w:spacing w:after="150" w:before="280"/>
      </w:pPr>
      <w:r>
        <w:rPr>
          <w:rFonts w:ascii="Arial" w:cs="Arial" w:eastAsia="Arial" w:hAnsi="Arial"/>
          <w:b/>
          <w:bCs/>
          <w:color w:val="2E75B6"/>
          <w:sz w:val="27"/>
          <w:szCs w:val="27"/>
        </w:rPr>
        <w:t xml:space="preserve">7.3 Dashboards &amp; utilitaires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URL</w:t>
            </w:r>
          </w:p>
        </w:tc>
        <w:tc>
          <w:tcPr>
            <w:tcW w:type="dxa" w:w="616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Contenu</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Toutes les alertes (HTML)</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/xau /solana /dax /btc /stocks</w:t>
            </w:r>
          </w:p>
        </w:tc>
        <w:tc>
          <w:tcPr>
            <w:tcW w:type="dxa" w:w="61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Alertes par actif</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/status</w:t>
            </w:r>
          </w:p>
        </w:tc>
        <w:tc>
          <w:tcPr>
            <w:tcW w:type="dxa" w:w="61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État JSON : profils, compteurs</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/levels</w:t>
            </w:r>
          </w:p>
        </w:tc>
        <w:tc>
          <w:tcPr>
            <w:tcW w:type="dxa" w:w="61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Historique JSON (gated)</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/test, /test_solana, …</w:t>
            </w:r>
          </w:p>
        </w:tc>
        <w:tc>
          <w:tcPr>
            <w:tcW w:type="dxa" w:w="61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Alertes de test</w:t>
            </w:r>
          </w:p>
        </w:tc>
      </w:tr>
    </w:tbl>
    <w:p>
      <w:pPr>
        <w:pBdr>
          <w:bottom w:val="single" w:color="2E75B6" w:sz="6" w:space="1"/>
        </w:pBdr>
        <w:spacing w:after="180" w:before="180"/>
      </w:pPr>
    </w:p>
    <w:p>
      <w:pPr>
        <w:pStyle w:val="Heading1"/>
        <w:spacing w:after="180" w:before="380"/>
      </w:pPr>
      <w:r>
        <w:rPr>
          <w:rFonts w:ascii="Arial" w:cs="Arial" w:eastAsia="Arial" w:hAnsi="Arial"/>
          <w:b/>
          <w:bCs/>
          <w:color w:val="1E3A5F"/>
          <w:sz w:val="34"/>
          <w:szCs w:val="34"/>
        </w:rPr>
        <w:t xml:space="preserve">8. Évaluation automatique des issues</w:t>
      </w:r>
    </w:p>
    <w:p>
      <w:pPr>
        <w:spacing w:after="70" w:before="70"/>
      </w:pPr>
      <w:r>
        <w:rPr>
          <w:rFonts w:ascii="Arial" w:cs="Arial" w:eastAsia="Arial" w:hAnsi="Arial"/>
          <w:sz w:val="22"/>
          <w:szCs w:val="22"/>
        </w:rPr>
        <w:t xml:space="preserve">C'est le cœur de la v2.4.0 : mesurer si le NIVEAU d'une alerte a produit un mouvement favorable. C'est un proxy directionnel pour calibrer le scoring (un score 12 réagit-il mieux qu'un 7 ?), pas le P&amp;L exact d'un trade géré manuellement.</w:t>
      </w:r>
    </w:p>
    <w:p>
      <w:pPr>
        <w:pStyle w:val="Heading2"/>
        <w:spacing w:after="150" w:before="280"/>
      </w:pPr>
      <w:r>
        <w:rPr>
          <w:rFonts w:ascii="Arial" w:cs="Arial" w:eastAsia="Arial" w:hAnsi="Arial"/>
          <w:b/>
          <w:bCs/>
          <w:color w:val="2E75B6"/>
          <w:sz w:val="27"/>
          <w:szCs w:val="27"/>
        </w:rPr>
        <w:t xml:space="preserve">8.1 Règle de décision</w:t>
      </w:r>
    </w:p>
    <w:p>
      <w:pPr>
        <w:spacing w:after="70" w:before="70"/>
      </w:pPr>
      <w:r>
        <w:rPr>
          <w:rFonts w:ascii="Arial" w:cs="Arial" w:eastAsia="Arial" w:hAnsi="Arial"/>
          <w:sz w:val="22"/>
          <w:szCs w:val="22"/>
        </w:rPr>
        <w:t xml:space="preserve">Depuis le prix de l'alerte, dans le sens du Side : win si +tp_r×SL est atteint AVANT −SL ; loss sinon ; invalid si ni l'un ni l'autre dans la fenêtre. En intrabar, le SL est testé avant le TP (hypothèse conservatrice). MFE et MAE (excursions max favorable/adverse) sont enregistrées.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Paramètre</w:t>
            </w:r>
          </w:p>
        </w:tc>
        <w:tc>
          <w:tcPr>
            <w:tcW w:type="dxa" w:w="676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Valeur par défaut</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EVAL_MIN_AGE_H</w:t>
            </w:r>
          </w:p>
        </w:tc>
        <w:tc>
          <w:tcPr>
            <w:tcW w:type="dxa" w:w="67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12 (âge minimum d'une alerte pour être évaluée)</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EVAL_HORIZON_H</w:t>
            </w:r>
          </w:p>
        </w:tc>
        <w:tc>
          <w:tcPr>
            <w:tcW w:type="dxa" w:w="67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72 (fenêtre d'observation après l'alerte)</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EVAL_RISK (XAU)</w:t>
            </w:r>
          </w:p>
        </w:tc>
        <w:tc>
          <w:tcPr>
            <w:tcW w:type="dxa" w:w="67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SL 15 pts, cible 3R — ajustable par actif</w:t>
            </w:r>
          </w:p>
        </w:tc>
      </w:tr>
    </w:tbl>
    <w:p>
      <w:pPr>
        <w:pStyle w:val="Heading2"/>
        <w:spacing w:after="150" w:before="280"/>
      </w:pPr>
      <w:r>
        <w:rPr>
          <w:rFonts w:ascii="Arial" w:cs="Arial" w:eastAsia="Arial" w:hAnsi="Arial"/>
          <w:b/>
          <w:bCs/>
          <w:color w:val="2E75B6"/>
          <w:sz w:val="27"/>
          <w:szCs w:val="27"/>
        </w:rPr>
        <w:t xml:space="preserve">8.2 Source de prix</w:t>
      </w:r>
    </w:p>
    <w:p>
      <w:pPr>
        <w:spacing w:after="70" w:before="70"/>
      </w:pPr>
      <w:r>
        <w:rPr>
          <w:rFonts w:ascii="Arial" w:cs="Arial" w:eastAsia="Arial" w:hAnsi="Arial"/>
          <w:sz w:val="22"/>
          <w:szCs w:val="22"/>
        </w:rPr>
        <w:t xml:space="preserve">fetch_prices() interroge Twelve Data si TWELVEDATA_API_KEY est défini (couverture homogène XAU/DAX/BTC/SOL/actions, données denses), sinon Yahoo en keyless (XAU via le futur GC=F, données plus pauvres et en léger décalage). Granularité H1.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F2F2F2" w:val="clear"/>
            <w:tcMar>
              <w:top w:type="dxa" w:w="110"/>
              <w:left w:type="dxa" w:w="150"/>
              <w:bottom w:type="dxa" w:w="110"/>
              <w:right w:type="dxa" w:w="70"/>
            </w:tcMar>
          </w:tcPr>
          <w:p>
            <w:pPr>
              <w:jc w:val="center"/>
            </w:pPr>
            <w:r>
              <w:rPr>
                <w:rFonts w:ascii="Arial" w:cs="Arial" w:eastAsia="Arial" w:hAnsi="Arial"/>
                <w:sz w:val="26"/>
                <w:szCs w:val="26"/>
              </w:rPr>
              <w:t xml:space="preserve">💡</w:t>
            </w:r>
          </w:p>
        </w:tc>
        <w:tc>
          <w:tcPr>
            <w:tcW w:type="dxa" w:w="8800"/>
            <w:tcBorders>
              <w:top w:val="single" w:color="CCCCCC" w:sz="1"/>
              <w:left w:val="single" w:color="CCCCCC" w:sz="1"/>
              <w:bottom w:val="single" w:color="CCCCCC" w:sz="1"/>
              <w:right w:val="single" w:color="CCCCCC" w:sz="1"/>
            </w:tcBorders>
            <w:shd w:fill="F2F2F2" w:val="clear"/>
            <w:tcMar>
              <w:top w:type="dxa" w:w="110"/>
              <w:left w:type="dxa" w:w="150"/>
              <w:bottom w:type="dxa" w:w="110"/>
              <w:right w:type="dxa" w:w="150"/>
            </w:tcMar>
          </w:tcPr>
          <w:p>
            <w:r>
              <w:rPr>
                <w:rFonts w:ascii="Arial" w:cs="Arial" w:eastAsia="Arial" w:hAnsi="Arial"/>
                <w:b/>
                <w:bCs/>
                <w:color w:val="2E75B6"/>
                <w:sz w:val="22"/>
                <w:szCs w:val="22"/>
              </w:rPr>
              <w:t xml:space="preserve">Recommandation</w:t>
            </w:r>
          </w:p>
          <w:p>
            <w:r>
              <w:rPr>
                <w:rFonts w:ascii="Arial" w:cs="Arial" w:eastAsia="Arial" w:hAnsi="Arial"/>
                <w:sz w:val="20"/>
                <w:szCs w:val="20"/>
              </w:rPr>
              <w:t xml:space="preserve">Le flux gratuit Yahoo est clairsemé sur l'or et en retard sur le temps réel — suffisant pour valider la chaîne, mais une clé Twelve Data (gratuite) rend l'évaluation fiable.</w:t>
            </w:r>
          </w:p>
        </w:tc>
      </w:tr>
    </w:tbl>
    <w:p>
      <w:pPr>
        <w:pStyle w:val="Heading2"/>
        <w:spacing w:after="150" w:before="280"/>
      </w:pPr>
      <w:r>
        <w:rPr>
          <w:rFonts w:ascii="Arial" w:cs="Arial" w:eastAsia="Arial" w:hAnsi="Arial"/>
          <w:b/>
          <w:bCs/>
          <w:color w:val="2E75B6"/>
          <w:sz w:val="27"/>
          <w:szCs w:val="27"/>
        </w:rPr>
        <w:t xml:space="preserve">8.3 Automatisation</w:t>
      </w:r>
    </w:p>
    <w:p>
      <w:pPr>
        <w:spacing w:after="70" w:before="70"/>
      </w:pPr>
      <w:r>
        <w:rPr>
          <w:rFonts w:ascii="Arial" w:cs="Arial" w:eastAsia="Arial" w:hAnsi="Arial"/>
          <w:sz w:val="22"/>
          <w:szCs w:val="22"/>
        </w:rPr>
        <w:t xml:space="preserve">Le serveur n'a pas d'ordonnanceur interne (1 worker). On automatise via un cron externe (cron-job.org) qui appelle /evaluate une fois par jour. Relancer est sans risque : les issues déjà notées ne sont plus 'pending'.</w:t>
      </w:r>
    </w:p>
    <w:p>
      <w:pPr>
        <w:pBdr>
          <w:bottom w:val="single" w:color="2E75B6" w:sz="6" w:space="1"/>
        </w:pBdr>
        <w:spacing w:after="180" w:before="180"/>
      </w:pPr>
    </w:p>
    <w:p>
      <w:pPr>
        <w:pStyle w:val="Heading1"/>
        <w:spacing w:after="180" w:before="380"/>
      </w:pPr>
      <w:r>
        <w:rPr>
          <w:rFonts w:ascii="Arial" w:cs="Arial" w:eastAsia="Arial" w:hAnsi="Arial"/>
          <w:b/>
          <w:bCs/>
          <w:color w:val="1E3A5F"/>
          <w:sz w:val="34"/>
          <w:szCs w:val="34"/>
        </w:rPr>
        <w:t xml:space="preserve">9. Tableau de bord de calibration</w:t>
      </w:r>
    </w:p>
    <w:p>
      <w:pPr>
        <w:spacing w:after="70" w:before="70"/>
      </w:pPr>
      <w:r>
        <w:rPr>
          <w:rFonts w:ascii="Arial" w:cs="Arial" w:eastAsia="Arial" w:hAnsi="Arial"/>
          <w:sz w:val="22"/>
          <w:szCs w:val="22"/>
        </w:rPr>
        <w:t xml:space="preserve">La route /stats_view sert une page HTML (Chart.js) qui agrège la table outcomes et affiche : le win rate global, et trois graphiques — win rate par score, par type, par timeframe — plus un tableau détaillé. Les barres pâlissent sous 5 trades (faible fiabilité).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F2F2F2" w:val="clear"/>
            <w:tcMar>
              <w:top w:type="dxa" w:w="110"/>
              <w:left w:type="dxa" w:w="150"/>
              <w:bottom w:type="dxa" w:w="110"/>
              <w:right w:type="dxa" w:w="70"/>
            </w:tcMar>
          </w:tcPr>
          <w:p>
            <w:pPr>
              <w:jc w:val="center"/>
            </w:pPr>
            <w:r>
              <w:rPr>
                <w:rFonts w:ascii="Arial" w:cs="Arial" w:eastAsia="Arial" w:hAnsi="Arial"/>
                <w:sz w:val="26"/>
                <w:szCs w:val="26"/>
              </w:rPr>
              <w:t xml:space="preserve">🎯</w:t>
            </w:r>
          </w:p>
        </w:tc>
        <w:tc>
          <w:tcPr>
            <w:tcW w:type="dxa" w:w="8800"/>
            <w:tcBorders>
              <w:top w:val="single" w:color="CCCCCC" w:sz="1"/>
              <w:left w:val="single" w:color="CCCCCC" w:sz="1"/>
              <w:bottom w:val="single" w:color="CCCCCC" w:sz="1"/>
              <w:right w:val="single" w:color="CCCCCC" w:sz="1"/>
            </w:tcBorders>
            <w:shd w:fill="F2F2F2" w:val="clear"/>
            <w:tcMar>
              <w:top w:type="dxa" w:w="110"/>
              <w:left w:type="dxa" w:w="150"/>
              <w:bottom w:type="dxa" w:w="110"/>
              <w:right w:type="dxa" w:w="150"/>
            </w:tcMar>
          </w:tcPr>
          <w:p>
            <w:r>
              <w:rPr>
                <w:rFonts w:ascii="Arial" w:cs="Arial" w:eastAsia="Arial" w:hAnsi="Arial"/>
                <w:b/>
                <w:bCs/>
                <w:color w:val="C9852A"/>
                <w:sz w:val="22"/>
                <w:szCs w:val="22"/>
              </w:rPr>
              <w:t xml:space="preserve">Usage</w:t>
            </w:r>
          </w:p>
          <w:p>
            <w:r>
              <w:rPr>
                <w:rFonts w:ascii="Arial" w:cs="Arial" w:eastAsia="Arial" w:hAnsi="Arial"/>
                <w:sz w:val="20"/>
                <w:szCs w:val="20"/>
              </w:rPr>
              <w:t xml:space="preserve">Si le scoring est bon, le win rate doit monter avec le score. Si un score faible bat un score fort, les poids (TF_WEIGHT, TYPE_SCORES) sont à recalibrer.</w:t>
            </w:r>
          </w:p>
        </w:tc>
      </w:tr>
    </w:tbl>
    <w:p>
      <w:pPr>
        <w:pBdr>
          <w:bottom w:val="single" w:color="2E75B6" w:sz="6" w:space="1"/>
        </w:pBdr>
        <w:spacing w:after="180" w:before="180"/>
      </w:pPr>
    </w:p>
    <w:p>
      <w:pPr>
        <w:pStyle w:val="Heading1"/>
        <w:spacing w:after="180" w:before="380"/>
      </w:pPr>
      <w:r>
        <w:rPr>
          <w:rFonts w:ascii="Arial" w:cs="Arial" w:eastAsia="Arial" w:hAnsi="Arial"/>
          <w:b/>
          <w:bCs/>
          <w:color w:val="1E3A5F"/>
          <w:sz w:val="34"/>
          <w:szCs w:val="34"/>
        </w:rPr>
        <w:t xml:space="preserve">10. Telegram (fiabilité)</w:t>
      </w:r>
    </w:p>
    <w:p>
      <w:pPr>
        <w:spacing w:after="70" w:before="70"/>
      </w:pPr>
      <w:r>
        <w:rPr>
          <w:rFonts w:ascii="Arial" w:cs="Arial" w:eastAsia="Arial" w:hAnsi="Arial"/>
          <w:sz w:val="22"/>
          <w:szCs w:val="22"/>
        </w:rPr>
        <w:t xml:space="preserve">send_telegram() applique un retry à 3 essais avec backoff (1s, 2s, plafond 4s), sans dépendance externe. Une erreur 4xx (hors 429) interrompt immédiatement ; une 429 ou 5xx est réessayée. Tous les champs externes sont échappés en HTML (anti-injection).</w:t>
      </w:r>
    </w:p>
    <w:p>
      <w:pPr>
        <w:pBdr>
          <w:bottom w:val="single" w:color="2E75B6" w:sz="6" w:space="1"/>
        </w:pBdr>
        <w:spacing w:after="180" w:before="180"/>
      </w:pPr>
    </w:p>
    <w:p>
      <w:pPr>
        <w:pStyle w:val="Heading1"/>
        <w:spacing w:after="180" w:before="380"/>
      </w:pPr>
      <w:r>
        <w:rPr>
          <w:rFonts w:ascii="Arial" w:cs="Arial" w:eastAsia="Arial" w:hAnsi="Arial"/>
          <w:b/>
          <w:bCs/>
          <w:color w:val="1E3A5F"/>
          <w:sz w:val="34"/>
          <w:szCs w:val="34"/>
        </w:rPr>
        <w:t xml:space="preserve">11. Déploiement &amp; maintenance</w:t>
      </w:r>
    </w:p>
    <w:p>
      <w:pPr>
        <w:pStyle w:val="Heading2"/>
        <w:spacing w:after="150" w:before="280"/>
      </w:pPr>
      <w:r>
        <w:rPr>
          <w:rFonts w:ascii="Arial" w:cs="Arial" w:eastAsia="Arial" w:hAnsi="Arial"/>
          <w:b/>
          <w:bCs/>
          <w:color w:val="2E75B6"/>
          <w:sz w:val="27"/>
          <w:szCs w:val="27"/>
        </w:rPr>
        <w:t xml:space="preserve">11.1 Mise à jour</w:t>
      </w:r>
    </w:p>
    <w:p>
      <w:pPr>
        <w:pStyle w:val="ListParagraph"/>
        <w:numPr>
          <w:ilvl w:val="0"/>
          <w:numId w:val="3"/>
        </w:numPr>
        <w:spacing w:after="50" w:before="50"/>
      </w:pPr>
      <w:r>
        <w:rPr>
          <w:rFonts w:ascii="Arial" w:cs="Arial" w:eastAsia="Arial" w:hAnsi="Arial"/>
          <w:sz w:val="22"/>
          <w:szCs w:val="22"/>
        </w:rPr>
        <w:t xml:space="preserve">Éditer app.py sur GitHub (commit direct sur main).</w:t>
      </w:r>
    </w:p>
    <w:p>
      <w:pPr>
        <w:pStyle w:val="ListParagraph"/>
        <w:numPr>
          <w:ilvl w:val="0"/>
          <w:numId w:val="3"/>
        </w:numPr>
        <w:spacing w:after="50" w:before="50"/>
      </w:pPr>
      <w:r>
        <w:rPr>
          <w:rFonts w:ascii="Arial" w:cs="Arial" w:eastAsia="Arial" w:hAnsi="Arial"/>
          <w:sz w:val="22"/>
          <w:szCs w:val="22"/>
        </w:rPr>
        <w:t xml:space="preserve">Railway redéploie automatiquement (sinon Redeploy manuel).</w:t>
      </w:r>
    </w:p>
    <w:p>
      <w:pPr>
        <w:pStyle w:val="ListParagraph"/>
        <w:numPr>
          <w:ilvl w:val="0"/>
          <w:numId w:val="3"/>
        </w:numPr>
        <w:spacing w:after="50" w:before="50"/>
      </w:pPr>
      <w:r>
        <w:rPr>
          <w:rFonts w:ascii="Arial" w:cs="Arial" w:eastAsia="Arial" w:hAnsi="Arial"/>
          <w:sz w:val="22"/>
          <w:szCs w:val="22"/>
        </w:rPr>
        <w:t xml:space="preserve">Vérifier /db_count et /price_test après déploiement.</w:t>
      </w:r>
    </w:p>
    <w:p>
      <w:pPr>
        <w:pStyle w:val="Heading2"/>
        <w:spacing w:after="150" w:before="280"/>
      </w:pPr>
      <w:r>
        <w:rPr>
          <w:rFonts w:ascii="Arial" w:cs="Arial" w:eastAsia="Arial" w:hAnsi="Arial"/>
          <w:b/>
          <w:bCs/>
          <w:color w:val="2E75B6"/>
          <w:sz w:val="27"/>
          <w:szCs w:val="27"/>
        </w:rPr>
        <w:t xml:space="preserve">11.2 Volume Railway</w:t>
      </w:r>
    </w:p>
    <w:p>
      <w:pPr>
        <w:pStyle w:val="ListParagraph"/>
        <w:numPr>
          <w:ilvl w:val="0"/>
          <w:numId w:val="3"/>
        </w:numPr>
        <w:spacing w:after="50" w:before="50"/>
      </w:pPr>
      <w:r>
        <w:rPr>
          <w:rFonts w:ascii="Arial" w:cs="Arial" w:eastAsia="Arial" w:hAnsi="Arial"/>
          <w:sz w:val="22"/>
          <w:szCs w:val="22"/>
        </w:rPr>
        <w:t xml:space="preserve">⌘K → Volume → attacher au service, mount path /data.</w:t>
      </w:r>
    </w:p>
    <w:p>
      <w:pPr>
        <w:pStyle w:val="ListParagraph"/>
        <w:numPr>
          <w:ilvl w:val="0"/>
          <w:numId w:val="3"/>
        </w:numPr>
        <w:spacing w:after="50" w:before="50"/>
      </w:pPr>
      <w:r>
        <w:rPr>
          <w:rFonts w:ascii="Arial" w:cs="Arial" w:eastAsia="Arial" w:hAnsi="Arial"/>
          <w:sz w:val="22"/>
          <w:szCs w:val="22"/>
        </w:rPr>
        <w:t xml:space="preserve">Variable DB_PATH = /data/fiblab.db.</w:t>
      </w:r>
    </w:p>
    <w:p>
      <w:pPr>
        <w:pStyle w:val="ListParagraph"/>
        <w:numPr>
          <w:ilvl w:val="0"/>
          <w:numId w:val="3"/>
        </w:numPr>
        <w:spacing w:after="50" w:before="50"/>
      </w:pPr>
      <w:r>
        <w:rPr>
          <w:rFonts w:ascii="Arial" w:cs="Arial" w:eastAsia="Arial" w:hAnsi="Arial"/>
          <w:sz w:val="22"/>
          <w:szCs w:val="22"/>
        </w:rPr>
        <w:t xml:space="preserve">La variable RAILWAY_VOLUME_MOUNT_PATH confirme l'attachement.</w:t>
      </w:r>
    </w:p>
    <w:p>
      <w:pPr>
        <w:pStyle w:val="Heading2"/>
        <w:spacing w:after="150" w:before="280"/>
      </w:pPr>
      <w:r>
        <w:rPr>
          <w:rFonts w:ascii="Arial" w:cs="Arial" w:eastAsia="Arial" w:hAnsi="Arial"/>
          <w:b/>
          <w:bCs/>
          <w:color w:val="2E75B6"/>
          <w:sz w:val="27"/>
          <w:szCs w:val="27"/>
        </w:rPr>
        <w:t xml:space="preserve">11.3 Limites</w:t>
      </w:r>
    </w:p>
    <w:p>
      <w:pPr>
        <w:pStyle w:val="ListParagraph"/>
        <w:numPr>
          <w:ilvl w:val="0"/>
          <w:numId w:val="2"/>
        </w:numPr>
        <w:spacing w:after="50" w:before="50"/>
      </w:pPr>
      <w:r>
        <w:rPr>
          <w:rFonts w:ascii="Arial" w:cs="Arial" w:eastAsia="Arial" w:hAnsi="Arial"/>
          <w:sz w:val="22"/>
          <w:szCs w:val="22"/>
        </w:rPr>
        <w:t xml:space="preserve">Yahoo (sans clé) : données prix clairsemées et décalées sur l'or.</w:t>
      </w:r>
    </w:p>
    <w:p>
      <w:pPr>
        <w:pStyle w:val="ListParagraph"/>
        <w:numPr>
          <w:ilvl w:val="0"/>
          <w:numId w:val="2"/>
        </w:numPr>
        <w:spacing w:after="50" w:before="50"/>
      </w:pPr>
      <w:r>
        <w:rPr>
          <w:rFonts w:ascii="Arial" w:cs="Arial" w:eastAsia="Arial" w:hAnsi="Arial"/>
          <w:sz w:val="22"/>
          <w:szCs w:val="22"/>
        </w:rPr>
        <w:t xml:space="preserve">Twelve Data gratuit : 8 req/min, 800 req/jour — suffisant à faible volume.</w:t>
      </w:r>
    </w:p>
    <w:p>
      <w:pPr>
        <w:pStyle w:val="ListParagraph"/>
        <w:numPr>
          <w:ilvl w:val="0"/>
          <w:numId w:val="2"/>
        </w:numPr>
        <w:spacing w:after="50" w:before="50"/>
      </w:pPr>
      <w:r>
        <w:rPr>
          <w:rFonts w:ascii="Arial" w:cs="Arial" w:eastAsia="Arial" w:hAnsi="Arial"/>
          <w:sz w:val="22"/>
          <w:szCs w:val="22"/>
        </w:rPr>
        <w:t xml:space="preserve">WEBHOOK_SECRET non défini = /webhook ouvert à qui connaît l'URL.</w:t>
      </w:r>
    </w:p>
    <w:p>
      <w:pPr>
        <w:pBdr>
          <w:bottom w:val="single" w:color="2E75B6" w:sz="6" w:space="1"/>
        </w:pBdr>
        <w:spacing w:after="180" w:before="180"/>
      </w:pPr>
    </w:p>
    <w:p>
      <w:pPr>
        <w:spacing w:after="70" w:before="70"/>
      </w:pPr>
      <w:r>
        <w:rPr>
          <w:rFonts w:ascii="Arial" w:cs="Arial" w:eastAsia="Arial" w:hAnsi="Arial"/>
          <w:i/>
          <w:iCs/>
          <w:color w:val="595959"/>
          <w:sz w:val="22"/>
          <w:szCs w:val="22"/>
        </w:rPr>
        <w:t xml:space="preserve">Documentation Technique v2.4.0 — FibLab Robot — Juin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0" w:hanging="350"/>
      </w:pPr>
    </w:lvl>
  </w:abstractNum>
  <w:abstractNum w:abstractNumId="3" w15:restartNumberingAfterBreak="0">
    <w:multiLevelType w:val="hybridMultilevel"/>
    <w:lvl w:ilvl="0" w15:tentative="1">
      <w:start w:val="1"/>
      <w:numFmt w:val="decimal"/>
      <w:lvlText w:val="%1."/>
      <w:lvlJc w:val="left"/>
      <w:pPr>
        <w:ind w:left="700" w:hanging="3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80"/>
      <w:outlineLvl w:val="0"/>
    </w:pPr>
    <w:rPr>
      <w:rFonts w:ascii="Arial" w:cs="Arial" w:eastAsia="Arial" w:hAnsi="Arial"/>
      <w:b/>
      <w:bCs/>
      <w:color w:val="1E3A5F"/>
      <w:sz w:val="34"/>
      <w:szCs w:val="34"/>
    </w:rPr>
  </w:style>
  <w:style w:type="paragraph" w:styleId="Heading2">
    <w:name w:val="Heading 2"/>
    <w:basedOn w:val="Normal"/>
    <w:next w:val="Normal"/>
    <w:qFormat/>
    <w:pPr>
      <w:spacing w:after="150" w:before="280"/>
      <w:outlineLvl w:val="1"/>
    </w:pPr>
    <w:rPr>
      <w:rFonts w:ascii="Arial" w:cs="Arial" w:eastAsia="Arial" w:hAnsi="Arial"/>
      <w:b/>
      <w:bCs/>
      <w:color w:val="2E75B6"/>
      <w:sz w:val="27"/>
      <w:szCs w:val="27"/>
    </w:rPr>
  </w:style>
  <w:style w:type="paragraph" w:styleId="Heading3">
    <w:name w:val="Heading 3"/>
    <w:basedOn w:val="Normal"/>
    <w:next w:val="Normal"/>
    <w:qFormat/>
    <w:pPr>
      <w:spacing w:after="110" w:before="20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2026-06-20T22:32:09.819Z</dcterms:created>
  <dcterms:modified xsi:type="dcterms:W3CDTF">2026-06-20T22:32:09.832Z</dcterms:modified>
</cp:coreProperties>
</file>

<file path=docProps/custom.xml><?xml version="1.0" encoding="utf-8"?>
<Properties xmlns="http://schemas.openxmlformats.org/officeDocument/2006/custom-properties" xmlns:vt="http://schemas.openxmlformats.org/officeDocument/2006/docPropsVTypes"/>
</file>