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600"/>
        <w:jc w:val="center"/>
      </w:pPr>
      <w:r>
        <w:rPr>
          <w:rFonts w:ascii="Arial" w:cs="Arial" w:eastAsia="Arial" w:hAnsi="Arial"/>
          <w:b/>
          <w:bCs/>
          <w:color w:val="1E3A5F"/>
          <w:sz w:val="54"/>
          <w:szCs w:val="54"/>
        </w:rPr>
        <w:t xml:space="preserve">GUIDE ÉDUCATIF</w:t>
      </w:r>
    </w:p>
    <w:p>
      <w:pPr>
        <w:spacing w:after="160"/>
        <w:jc w:val="center"/>
      </w:pPr>
      <w:r>
        <w:rPr>
          <w:rFonts w:ascii="Arial" w:cs="Arial" w:eastAsia="Arial" w:hAnsi="Arial"/>
          <w:b/>
          <w:bCs/>
          <w:color w:val="C9852A"/>
          <w:sz w:val="30"/>
          <w:szCs w:val="30"/>
        </w:rPr>
        <w:t xml:space="preserve">Niveaux d'Origine &amp; Confluences</w:t>
      </w:r>
    </w:p>
    <w:p>
      <w:pPr>
        <w:spacing w:after="160"/>
        <w:jc w:val="center"/>
      </w:pPr>
      <w:r>
        <w:rPr>
          <w:rFonts w:ascii="Arial" w:cs="Arial" w:eastAsia="Arial" w:hAnsi="Arial"/>
          <w:i/>
          <w:iCs/>
          <w:color w:val="595959"/>
          <w:sz w:val="22"/>
          <w:szCs w:val="22"/>
        </w:rPr>
        <w:t xml:space="preserve">Une approche structurée du trading par zones institutionnelles</w:t>
      </w:r>
    </w:p>
    <w:p>
      <w:pPr>
        <w:spacing w:after="500"/>
        <w:jc w:val="center"/>
      </w:pPr>
      <w:r>
        <w:rPr>
          <w:rFonts w:ascii="Arial" w:cs="Arial" w:eastAsia="Arial" w:hAnsi="Arial"/>
          <w:color w:val="595959"/>
          <w:sz w:val="20"/>
          <w:szCs w:val="20"/>
        </w:rPr>
        <w:t xml:space="preserve">Juin 2026</w:t>
      </w:r>
    </w:p>
    <w:p>
      <w:pPr>
        <w:pBdr>
          <w:bottom w:val="single" w:color="2E75B6" w:sz="6" w:space="1"/>
        </w:pBdr>
        <w:spacing w:after="180" w:before="180"/>
      </w:pPr>
    </w:p>
    <w:p>
      <w:pPr>
        <w:pStyle w:val="Heading1"/>
        <w:spacing w:after="180" w:before="380"/>
      </w:pPr>
      <w:r>
        <w:rPr>
          <w:rFonts w:ascii="Arial" w:cs="Arial" w:eastAsia="Arial" w:hAnsi="Arial"/>
          <w:b/>
          <w:bCs/>
          <w:color w:val="1E3A5F"/>
          <w:sz w:val="34"/>
          <w:szCs w:val="34"/>
        </w:rPr>
        <w:t xml:space="preserve">1. Philosophie — comment le marché se déplace</w:t>
      </w:r>
    </w:p>
    <w:p>
      <w:pPr>
        <w:spacing w:after="70" w:before="70"/>
      </w:pPr>
      <w:r>
        <w:rPr>
          <w:rFonts w:ascii="Arial" w:cs="Arial" w:eastAsia="Arial" w:hAnsi="Arial"/>
          <w:sz w:val="22"/>
          <w:szCs w:val="22"/>
        </w:rPr>
        <w:t xml:space="preserve">Les marchés ne bougent pas au hasard. Chaque impulsion significative part d'une zone précise — une zone d'origine — et y revient souvent pour en tester la validité avant de reprendre sa direction. Quand le prix quitte rapidement une zone, il laisse des ordres non exécutés qui attirent le prix lors d'un retour.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F2F2F2" w:val="clear"/>
            <w:tcMar>
              <w:top w:type="dxa" w:w="110"/>
              <w:left w:type="dxa" w:w="150"/>
              <w:bottom w:type="dxa" w:w="110"/>
              <w:right w:type="dxa" w:w="70"/>
            </w:tcMar>
          </w:tcPr>
          <w:p>
            <w:pPr>
              <w:jc w:val="center"/>
            </w:pPr>
            <w:r>
              <w:rPr>
                <w:rFonts w:ascii="Arial" w:cs="Arial" w:eastAsia="Arial" w:hAnsi="Arial"/>
                <w:sz w:val="26"/>
                <w:szCs w:val="26"/>
              </w:rPr>
              <w:t xml:space="preserve">💡</w:t>
            </w:r>
          </w:p>
        </w:tc>
        <w:tc>
          <w:tcPr>
            <w:tcW w:type="dxa" w:w="8800"/>
            <w:tcBorders>
              <w:top w:val="single" w:color="CCCCCC" w:sz="1"/>
              <w:left w:val="single" w:color="CCCCCC" w:sz="1"/>
              <w:bottom w:val="single" w:color="CCCCCC" w:sz="1"/>
              <w:right w:val="single" w:color="CCCCCC" w:sz="1"/>
            </w:tcBorders>
            <w:shd w:fill="F2F2F2" w:val="clear"/>
            <w:tcMar>
              <w:top w:type="dxa" w:w="110"/>
              <w:left w:type="dxa" w:w="150"/>
              <w:bottom w:type="dxa" w:w="110"/>
              <w:right w:type="dxa" w:w="150"/>
            </w:tcMar>
          </w:tcPr>
          <w:p>
            <w:r>
              <w:rPr>
                <w:rFonts w:ascii="Arial" w:cs="Arial" w:eastAsia="Arial" w:hAnsi="Arial"/>
                <w:b/>
                <w:bCs/>
                <w:color w:val="1E3A5F"/>
                <w:sz w:val="22"/>
                <w:szCs w:val="22"/>
              </w:rPr>
              <w:t xml:space="preserve">Principe clé</w:t>
            </w:r>
          </w:p>
          <w:p>
            <w:r>
              <w:rPr>
                <w:rFonts w:ascii="Arial" w:cs="Arial" w:eastAsia="Arial" w:hAnsi="Arial"/>
                <w:sz w:val="20"/>
                <w:szCs w:val="20"/>
              </w:rPr>
              <w:t xml:space="preserve">Le prix revient tester ses origines. Plus la zone est vierge (jamais revisitée), plus la réaction est forte.</w:t>
            </w:r>
          </w:p>
        </w:tc>
      </w:tr>
    </w:tbl>
    <w:p>
      <w:pPr>
        <w:pStyle w:val="Heading2"/>
        <w:spacing w:after="150" w:before="280"/>
      </w:pPr>
      <w:r>
        <w:rPr>
          <w:rFonts w:ascii="Arial" w:cs="Arial" w:eastAsia="Arial" w:hAnsi="Arial"/>
          <w:b/>
          <w:bCs/>
          <w:color w:val="2E75B6"/>
          <w:sz w:val="27"/>
          <w:szCs w:val="27"/>
        </w:rPr>
        <w:t xml:space="preserve">1.1 Untouched vs 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Statut</w:t>
            </w:r>
          </w:p>
        </w:tc>
        <w:tc>
          <w:tcPr>
            <w:tcW w:type="dxa" w:w="420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Définition</w:t>
            </w:r>
          </w:p>
        </w:tc>
        <w:tc>
          <w:tcPr>
            <w:tcW w:type="dxa" w:w="296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Signal</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Untouched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Jamais revisité depuis sa création</w:t>
            </w:r>
          </w:p>
        </w:tc>
        <w:tc>
          <w:tcPr>
            <w:tcW w:type="dxa" w:w="29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Maximal</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Touched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Déjà testé au moins une fois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Secondaire</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Broken</w:t>
            </w:r>
          </w:p>
        </w:tc>
        <w:tc>
          <w:tcPr>
            <w:tcW w:type="dxa" w:w="42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Cassé et dépassé</w:t>
            </w:r>
          </w:p>
        </w:tc>
        <w:tc>
          <w:tcPr>
            <w:tcW w:type="dxa" w:w="29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Surveiller (support/résistance retournés)</w:t>
            </w:r>
          </w:p>
        </w:tc>
      </w:tr>
    </w:tbl>
    <w:p>
      <w:pPr>
        <w:pBdr>
          <w:bottom w:val="single" w:color="2E75B6" w:sz="6" w:space="1"/>
        </w:pBdr>
        <w:spacing w:after="180" w:before="180"/>
      </w:pPr>
    </w:p>
    <w:p>
      <w:pPr>
        <w:pStyle w:val="Heading1"/>
        <w:spacing w:after="180" w:before="380"/>
      </w:pPr>
      <w:r>
        <w:rPr>
          <w:rFonts w:ascii="Arial" w:cs="Arial" w:eastAsia="Arial" w:hAnsi="Arial"/>
          <w:b/>
          <w:bCs/>
          <w:color w:val="1E3A5F"/>
          <w:sz w:val="34"/>
          <w:szCs w:val="34"/>
        </w:rPr>
        <w:t xml:space="preserve">2. L'importance des timeframes</w:t>
      </w:r>
    </w:p>
    <w:p>
      <w:pPr>
        <w:spacing w:after="70" w:before="70"/>
      </w:pPr>
      <w:r>
        <w:rPr>
          <w:rFonts w:ascii="Arial" w:cs="Arial" w:eastAsia="Arial" w:hAnsi="Arial"/>
          <w:sz w:val="22"/>
          <w:szCs w:val="22"/>
        </w:rPr>
        <w:t xml:space="preserve">Un niveau créé en Daily est infiniment plus puissant qu'un niveau M5. On trade DANS la direction du niveau Daily ou Weekly ; les timeframes inférieurs servent uniquement à affiner l'entrée.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Timeframe</w:t>
            </w:r>
          </w:p>
        </w:tc>
        <w:tc>
          <w:tcPr>
            <w:tcW w:type="dxa" w:w="200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Force</w:t>
            </w:r>
          </w:p>
        </w:tc>
        <w:tc>
          <w:tcPr>
            <w:tcW w:type="dxa" w:w="496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Usage</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Weekly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Niveaux macro</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Daily 1D→7D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Niveaux institutionnels — base</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H4→H12</w:t>
            </w:r>
          </w:p>
        </w:tc>
        <w:tc>
          <w:tcPr>
            <w:tcW w:type="dxa" w:w="2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Intraday important</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H1→H3</w:t>
            </w:r>
          </w:p>
        </w:tc>
        <w:tc>
          <w:tcPr>
            <w:tcW w:type="dxa" w:w="2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Order Blocks de confirmation</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M15→M30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Structure locale / gestion</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M1→M5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Entrée sniper uniquement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F2F2F2" w:val="clear"/>
            <w:tcMar>
              <w:top w:type="dxa" w:w="110"/>
              <w:left w:type="dxa" w:w="150"/>
              <w:bottom w:type="dxa" w:w="110"/>
              <w:right w:type="dxa" w:w="70"/>
            </w:tcMar>
          </w:tcPr>
          <w:p>
            <w:pPr>
              <w:jc w:val="center"/>
            </w:pPr>
            <w:r>
              <w:rPr>
                <w:rFonts w:ascii="Arial" w:cs="Arial" w:eastAsia="Arial" w:hAnsi="Arial"/>
                <w:sz w:val="26"/>
                <w:szCs w:val="26"/>
              </w:rPr>
              <w:t xml:space="preserve">🎯</w:t>
            </w:r>
          </w:p>
        </w:tc>
        <w:tc>
          <w:tcPr>
            <w:tcW w:type="dxa" w:w="8800"/>
            <w:tcBorders>
              <w:top w:val="single" w:color="CCCCCC" w:sz="1"/>
              <w:left w:val="single" w:color="CCCCCC" w:sz="1"/>
              <w:bottom w:val="single" w:color="CCCCCC" w:sz="1"/>
              <w:right w:val="single" w:color="CCCCCC" w:sz="1"/>
            </w:tcBorders>
            <w:shd w:fill="F2F2F2" w:val="clear"/>
            <w:tcMar>
              <w:top w:type="dxa" w:w="110"/>
              <w:left w:type="dxa" w:w="150"/>
              <w:bottom w:type="dxa" w:w="110"/>
              <w:right w:type="dxa" w:w="150"/>
            </w:tcMar>
          </w:tcPr>
          <w:p>
            <w:r>
              <w:rPr>
                <w:rFonts w:ascii="Arial" w:cs="Arial" w:eastAsia="Arial" w:hAnsi="Arial"/>
                <w:b/>
                <w:bCs/>
                <w:color w:val="C9852A"/>
                <w:sz w:val="22"/>
                <w:szCs w:val="22"/>
              </w:rPr>
              <w:t xml:space="preserve">Règle d'or</w:t>
            </w:r>
          </w:p>
          <w:p>
            <w:r>
              <w:rPr>
                <w:rFonts w:ascii="Arial" w:cs="Arial" w:eastAsia="Arial" w:hAnsi="Arial"/>
                <w:sz w:val="20"/>
                <w:szCs w:val="20"/>
              </w:rPr>
              <w:t xml:space="preserve">La direction vient du HTF. Les TF inférieurs ne servent qu'à affiner l'entrée.</w:t>
            </w:r>
          </w:p>
        </w:tc>
      </w:tr>
    </w:tbl>
    <w:p>
      <w:pPr>
        <w:pBdr>
          <w:bottom w:val="single" w:color="2E75B6" w:sz="6" w:space="1"/>
        </w:pBdr>
        <w:spacing w:after="180" w:before="180"/>
      </w:pPr>
    </w:p>
    <w:p>
      <w:pPr>
        <w:pStyle w:val="Heading1"/>
        <w:spacing w:after="180" w:before="380"/>
      </w:pPr>
      <w:r>
        <w:rPr>
          <w:rFonts w:ascii="Arial" w:cs="Arial" w:eastAsia="Arial" w:hAnsi="Arial"/>
          <w:b/>
          <w:bCs/>
          <w:color w:val="1E3A5F"/>
          <w:sz w:val="34"/>
          <w:szCs w:val="34"/>
        </w:rPr>
        <w:t xml:space="preserve">3. La zone OTE — Fibonacci</w:t>
      </w:r>
    </w:p>
    <w:p>
      <w:pPr>
        <w:spacing w:after="70" w:before="70"/>
      </w:pPr>
      <w:r>
        <w:rPr>
          <w:rFonts w:ascii="Arial" w:cs="Arial" w:eastAsia="Arial" w:hAnsi="Arial"/>
          <w:sz w:val="22"/>
          <w:szCs w:val="22"/>
        </w:rPr>
        <w:t xml:space="preserve">L'OTE (Optimal Trade Entry) est la zone dorée entre 0.618 et 0.786 d'un retracement. C'est statistiquement là que les institutions placent leurs ordres lors d'un pullback. Un niveau d'origine Daily qui tombe dans l'OTE est une confluence très forte.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Niveau Fib</w:t>
            </w:r>
          </w:p>
        </w:tc>
        <w:tc>
          <w:tcPr>
            <w:tcW w:type="dxa" w:w="696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Sens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0.618</w:t>
            </w:r>
          </w:p>
        </w:tc>
        <w:tc>
          <w:tcPr>
            <w:tcW w:type="dxa" w:w="69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Début de l'OTE — zone d'intérêt</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0.786</w:t>
            </w:r>
          </w:p>
        </w:tc>
        <w:tc>
          <w:tcPr>
            <w:tcW w:type="dxa" w:w="69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Fin de l'OTE — zone premium</w:t>
            </w:r>
          </w:p>
        </w:tc>
      </w:tr>
    </w:tbl>
    <w:p>
      <w:pPr>
        <w:pBdr>
          <w:bottom w:val="single" w:color="2E75B6" w:sz="6" w:space="1"/>
        </w:pBdr>
        <w:spacing w:after="180" w:before="180"/>
      </w:pPr>
    </w:p>
    <w:p>
      <w:pPr>
        <w:pStyle w:val="Heading1"/>
        <w:spacing w:after="180" w:before="380"/>
      </w:pPr>
      <w:r>
        <w:rPr>
          <w:rFonts w:ascii="Arial" w:cs="Arial" w:eastAsia="Arial" w:hAnsi="Arial"/>
          <w:b/>
          <w:bCs/>
          <w:color w:val="1E3A5F"/>
          <w:sz w:val="34"/>
          <w:szCs w:val="34"/>
        </w:rPr>
        <w:t xml:space="preserve">4. Les Order Blocks</w:t>
      </w:r>
    </w:p>
    <w:p>
      <w:pPr>
        <w:spacing w:after="70" w:before="70"/>
      </w:pPr>
      <w:r>
        <w:rPr>
          <w:rFonts w:ascii="Arial" w:cs="Arial" w:eastAsia="Arial" w:hAnsi="Arial"/>
          <w:sz w:val="22"/>
          <w:szCs w:val="22"/>
        </w:rPr>
        <w:t xml:space="preserve">Un Order Block est la dernière bougie de sens opposé avant une impulsion forte — l'empreinte des ordres institutionnels. OB bearish = dernière bougie haussière avant une chute ; OB bullish = dernière bougie baissière avant une montée.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F2F2F2" w:val="clear"/>
            <w:tcMar>
              <w:top w:type="dxa" w:w="110"/>
              <w:left w:type="dxa" w:w="150"/>
              <w:bottom w:type="dxa" w:w="110"/>
              <w:right w:type="dxa" w:w="70"/>
            </w:tcMar>
          </w:tcPr>
          <w:p>
            <w:pPr>
              <w:jc w:val="center"/>
            </w:pPr>
            <w:r>
              <w:rPr>
                <w:rFonts w:ascii="Arial" w:cs="Arial" w:eastAsia="Arial" w:hAnsi="Arial"/>
                <w:sz w:val="26"/>
                <w:szCs w:val="26"/>
              </w:rPr>
              <w:t xml:space="preserve">🔑</w:t>
            </w:r>
          </w:p>
        </w:tc>
        <w:tc>
          <w:tcPr>
            <w:tcW w:type="dxa" w:w="8800"/>
            <w:tcBorders>
              <w:top w:val="single" w:color="CCCCCC" w:sz="1"/>
              <w:left w:val="single" w:color="CCCCCC" w:sz="1"/>
              <w:bottom w:val="single" w:color="CCCCCC" w:sz="1"/>
              <w:right w:val="single" w:color="CCCCCC" w:sz="1"/>
            </w:tcBorders>
            <w:shd w:fill="F2F2F2" w:val="clear"/>
            <w:tcMar>
              <w:top w:type="dxa" w:w="110"/>
              <w:left w:type="dxa" w:w="150"/>
              <w:bottom w:type="dxa" w:w="110"/>
              <w:right w:type="dxa" w:w="150"/>
            </w:tcMar>
          </w:tcPr>
          <w:p>
            <w:r>
              <w:rPr>
                <w:rFonts w:ascii="Arial" w:cs="Arial" w:eastAsia="Arial" w:hAnsi="Arial"/>
                <w:b/>
                <w:bCs/>
                <w:color w:val="1A7A4A"/>
                <w:sz w:val="22"/>
                <w:szCs w:val="22"/>
              </w:rPr>
              <w:t xml:space="preserve">OB dans OB</w:t>
            </w:r>
          </w:p>
          <w:p>
            <w:r>
              <w:rPr>
                <w:rFonts w:ascii="Arial" w:cs="Arial" w:eastAsia="Arial" w:hAnsi="Arial"/>
                <w:sz w:val="20"/>
                <w:szCs w:val="20"/>
              </w:rPr>
              <w:t xml:space="preserve">Quand un OB de petit TF est dans un OB de grand TF, le signal est amplifié. Le plus petit réagit en premier.</w:t>
            </w:r>
          </w:p>
        </w:tc>
      </w:tr>
    </w:tbl>
    <w:p>
      <w:pPr>
        <w:pBdr>
          <w:bottom w:val="single" w:color="2E75B6" w:sz="6" w:space="1"/>
        </w:pBdr>
        <w:spacing w:after="180" w:before="180"/>
      </w:pPr>
    </w:p>
    <w:p>
      <w:pPr>
        <w:pStyle w:val="Heading1"/>
        <w:spacing w:after="180" w:before="380"/>
      </w:pPr>
      <w:r>
        <w:rPr>
          <w:rFonts w:ascii="Arial" w:cs="Arial" w:eastAsia="Arial" w:hAnsi="Arial"/>
          <w:b/>
          <w:bCs/>
          <w:color w:val="1E3A5F"/>
          <w:sz w:val="34"/>
          <w:szCs w:val="34"/>
        </w:rPr>
        <w:t xml:space="preserve">5. L'entrée sniper — bougie englobante M1</w:t>
      </w:r>
    </w:p>
    <w:p>
      <w:pPr>
        <w:spacing w:after="70" w:before="70"/>
      </w:pPr>
      <w:r>
        <w:rPr>
          <w:rFonts w:ascii="Arial" w:cs="Arial" w:eastAsia="Arial" w:hAnsi="Arial"/>
          <w:sz w:val="22"/>
          <w:szCs w:val="22"/>
        </w:rPr>
        <w:t xml:space="preserve">Une fois les confluences alignées sur les grands timeframes, l'entrée se fait en M1 sur une bougie englobante (corps &gt; 5 USD, corps/range ≥ 40%, dans la zone). Le SL est chirurgical : high/low de l'englobante ± 1 pt, max 10-15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F2F2F2" w:val="clear"/>
            <w:tcMar>
              <w:top w:type="dxa" w:w="110"/>
              <w:left w:type="dxa" w:w="150"/>
              <w:bottom w:type="dxa" w:w="110"/>
              <w:right w:type="dxa" w:w="70"/>
            </w:tcMar>
          </w:tcPr>
          <w:p>
            <w:pPr>
              <w:jc w:val="center"/>
            </w:pPr>
            <w:r>
              <w:rPr>
                <w:rFonts w:ascii="Arial" w:cs="Arial" w:eastAsia="Arial" w:hAnsi="Arial"/>
                <w:sz w:val="26"/>
                <w:szCs w:val="26"/>
              </w:rPr>
              <w:t xml:space="preserve">⚡</w:t>
            </w:r>
          </w:p>
        </w:tc>
        <w:tc>
          <w:tcPr>
            <w:tcW w:type="dxa" w:w="8800"/>
            <w:tcBorders>
              <w:top w:val="single" w:color="CCCCCC" w:sz="1"/>
              <w:left w:val="single" w:color="CCCCCC" w:sz="1"/>
              <w:bottom w:val="single" w:color="CCCCCC" w:sz="1"/>
              <w:right w:val="single" w:color="CCCCCC" w:sz="1"/>
            </w:tcBorders>
            <w:shd w:fill="F2F2F2" w:val="clear"/>
            <w:tcMar>
              <w:top w:type="dxa" w:w="110"/>
              <w:left w:type="dxa" w:w="150"/>
              <w:bottom w:type="dxa" w:w="110"/>
              <w:right w:type="dxa" w:w="150"/>
            </w:tcMar>
          </w:tcPr>
          <w:p>
            <w:r>
              <w:rPr>
                <w:rFonts w:ascii="Arial" w:cs="Arial" w:eastAsia="Arial" w:hAnsi="Arial"/>
                <w:b/>
                <w:bCs/>
                <w:color w:val="E67E22"/>
                <w:sz w:val="22"/>
                <w:szCs w:val="22"/>
              </w:rPr>
              <w:t xml:space="preserve">Avantage clé</w:t>
            </w:r>
          </w:p>
          <w:p>
            <w:r>
              <w:rPr>
                <w:rFonts w:ascii="Arial" w:cs="Arial" w:eastAsia="Arial" w:hAnsi="Arial"/>
                <w:sz w:val="20"/>
                <w:szCs w:val="20"/>
              </w:rPr>
              <w:t xml:space="preserve">Un SL de 5-10 USD sur un niveau Daily permet un R/R de 10-20 si le mouvement Daily se déroule. C'est l'asymétrie fondamentale de la stratégie.</w:t>
            </w:r>
          </w:p>
        </w:tc>
      </w:tr>
    </w:tbl>
    <w:p>
      <w:pPr>
        <w:pBdr>
          <w:bottom w:val="single" w:color="2E75B6" w:sz="6" w:space="1"/>
        </w:pBdr>
        <w:spacing w:after="180" w:before="180"/>
      </w:pPr>
    </w:p>
    <w:p>
      <w:pPr>
        <w:pStyle w:val="Heading1"/>
        <w:spacing w:after="180" w:before="380"/>
      </w:pPr>
      <w:r>
        <w:rPr>
          <w:rFonts w:ascii="Arial" w:cs="Arial" w:eastAsia="Arial" w:hAnsi="Arial"/>
          <w:b/>
          <w:bCs/>
          <w:color w:val="1E3A5F"/>
          <w:sz w:val="34"/>
          <w:szCs w:val="34"/>
        </w:rPr>
        <w:t xml:space="preserve">6. Gestion du trade</w:t>
      </w:r>
    </w:p>
    <w:p>
      <w:pPr>
        <w:spacing w:after="70" w:before="70"/>
      </w:pPr>
      <w:r>
        <w:rPr>
          <w:rFonts w:ascii="Arial" w:cs="Arial" w:eastAsia="Arial" w:hAnsi="Arial"/>
          <w:sz w:val="22"/>
          <w:szCs w:val="22"/>
        </w:rPr>
        <w:t xml:space="preserve">Break Even sur cassure de structure M15 : SHORT → première M15 qui s'ouvre sous le low de la précédente ; LONG → première M15 qui s'ouvre au-dessus du high précédent. TP1 = R/R 3 (50% de la position), TP2 = R/R 6 (50% restant).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F2F2F2" w:val="clear"/>
            <w:tcMar>
              <w:top w:type="dxa" w:w="110"/>
              <w:left w:type="dxa" w:w="150"/>
              <w:bottom w:type="dxa" w:w="110"/>
              <w:right w:type="dxa" w:w="70"/>
            </w:tcMar>
          </w:tcPr>
          <w:p>
            <w:pPr>
              <w:jc w:val="center"/>
            </w:pPr>
            <w:r>
              <w:rPr>
                <w:rFonts w:ascii="Arial" w:cs="Arial" w:eastAsia="Arial" w:hAnsi="Arial"/>
                <w:sz w:val="26"/>
                <w:szCs w:val="26"/>
              </w:rPr>
              <w:t xml:space="preserve">🛡️</w:t>
            </w:r>
          </w:p>
        </w:tc>
        <w:tc>
          <w:tcPr>
            <w:tcW w:type="dxa" w:w="8800"/>
            <w:tcBorders>
              <w:top w:val="single" w:color="CCCCCC" w:sz="1"/>
              <w:left w:val="single" w:color="CCCCCC" w:sz="1"/>
              <w:bottom w:val="single" w:color="CCCCCC" w:sz="1"/>
              <w:right w:val="single" w:color="CCCCCC" w:sz="1"/>
            </w:tcBorders>
            <w:shd w:fill="F2F2F2" w:val="clear"/>
            <w:tcMar>
              <w:top w:type="dxa" w:w="110"/>
              <w:left w:type="dxa" w:w="150"/>
              <w:bottom w:type="dxa" w:w="110"/>
              <w:right w:type="dxa" w:w="150"/>
            </w:tcMar>
          </w:tcPr>
          <w:p>
            <w:r>
              <w:rPr>
                <w:rFonts w:ascii="Arial" w:cs="Arial" w:eastAsia="Arial" w:hAnsi="Arial"/>
                <w:b/>
                <w:bCs/>
                <w:color w:val="1E3A5F"/>
                <w:sz w:val="22"/>
                <w:szCs w:val="22"/>
              </w:rPr>
              <w:t xml:space="preserve">Pourquoi M15 </w:t>
            </w:r>
          </w:p>
          <w:p>
            <w:r>
              <w:rPr>
                <w:rFonts w:ascii="Arial" w:cs="Arial" w:eastAsia="Arial" w:hAnsi="Arial"/>
                <w:sz w:val="20"/>
                <w:szCs w:val="20"/>
              </w:rPr>
              <w:t xml:space="preserve">Assez rapide pour protéger le capital, assez lent pour éviter les faux signaux M1/M5.</w:t>
            </w:r>
          </w:p>
        </w:tc>
      </w:tr>
    </w:tbl>
    <w:p>
      <w:pPr>
        <w:pBdr>
          <w:bottom w:val="single" w:color="2E75B6" w:sz="6" w:space="1"/>
        </w:pBdr>
        <w:spacing w:after="180" w:before="180"/>
      </w:pPr>
    </w:p>
    <w:p>
      <w:pPr>
        <w:pStyle w:val="Heading1"/>
        <w:spacing w:after="180" w:before="380"/>
      </w:pPr>
      <w:r>
        <w:rPr>
          <w:rFonts w:ascii="Arial" w:cs="Arial" w:eastAsia="Arial" w:hAnsi="Arial"/>
          <w:b/>
          <w:bCs/>
          <w:color w:val="1E3A5F"/>
          <w:sz w:val="34"/>
          <w:szCs w:val="34"/>
        </w:rPr>
        <w:t xml:space="preserve">7. Système de scoring</w:t>
      </w:r>
    </w:p>
    <w:p>
      <w:pPr>
        <w:spacing w:after="70" w:before="70"/>
      </w:pPr>
      <w:r>
        <w:rPr>
          <w:rFonts w:ascii="Arial" w:cs="Arial" w:eastAsia="Arial" w:hAnsi="Arial"/>
          <w:sz w:val="22"/>
          <w:szCs w:val="22"/>
        </w:rPr>
        <w:t xml:space="preserve">Chaque alerte reçoit un score : type (Untouched +5, First Touch +4, ATR +3…), Scope Pure +2, First Touch +2, et un bonus de timeframe croissant (M5→M45 +1, H1-H3 +2, H4-H12 +3, Daily/Weekly +4). 8+ = PRIORITAIRE, 5-7 = SECONDAIRE, &lt;5 = INFO.</w:t>
      </w:r>
    </w:p>
    <w:p>
      <w:pPr>
        <w:pBdr>
          <w:bottom w:val="single" w:color="2E75B6" w:sz="6" w:space="1"/>
        </w:pBdr>
        <w:spacing w:after="180" w:before="180"/>
      </w:pPr>
    </w:p>
    <w:p>
      <w:pPr>
        <w:pStyle w:val="Heading1"/>
        <w:spacing w:after="180" w:before="380"/>
      </w:pPr>
      <w:r>
        <w:rPr>
          <w:rFonts w:ascii="Arial" w:cs="Arial" w:eastAsia="Arial" w:hAnsi="Arial"/>
          <w:b/>
          <w:bCs/>
          <w:color w:val="1E3A5F"/>
          <w:sz w:val="34"/>
          <w:szCs w:val="34"/>
        </w:rPr>
        <w:t xml:space="preserve">8. Exemple réel — XAU/USD SHORT, mai 2026</w:t>
      </w:r>
    </w:p>
    <w:p>
      <w:pPr>
        <w:spacing w:after="70" w:before="70"/>
      </w:pPr>
      <w:r>
        <w:rPr>
          <w:rFonts w:ascii="Arial" w:cs="Arial" w:eastAsia="Arial" w:hAnsi="Arial"/>
          <w:sz w:val="22"/>
          <w:szCs w:val="22"/>
        </w:rPr>
        <w:t xml:space="preserve">Confluences : Origin 1D UNTOUCHED + OB H4 + OB H8 + BSUT + Fibonacci 0.786 + tendance macro baissière (7 TF alignés).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Élément</w:t>
            </w:r>
          </w:p>
        </w:tc>
        <w:tc>
          <w:tcPr>
            <w:tcW w:type="dxa" w:w="676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Détail</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Entrée</w:t>
            </w:r>
          </w:p>
        </w:tc>
        <w:tc>
          <w:tcPr>
            <w:tcW w:type="dxa" w:w="67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Sell 0.15 @ 4578.68 — englobante M1 confirmée</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Stop</w:t>
            </w:r>
          </w:p>
        </w:tc>
        <w:tc>
          <w:tcPr>
            <w:tcW w:type="dxa" w:w="67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4573.84 → BE immédiat</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TP1</w:t>
            </w:r>
          </w:p>
        </w:tc>
        <w:tc>
          <w:tcPr>
            <w:tcW w:type="dxa" w:w="67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Buy 0.07 @ 4541.06 → +263.34 $</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TP2</w:t>
            </w:r>
          </w:p>
        </w:tc>
        <w:tc>
          <w:tcPr>
            <w:tcW w:type="dxa" w:w="67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Buy 0.08 @ 4453.44 → +1 001.92 $</w:t>
            </w:r>
          </w:p>
        </w:tc>
      </w:tr>
      <w:tr>
        <w:tc>
          <w:tcPr>
            <w:tcW w:type="dxa" w:w="26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Total</w:t>
            </w:r>
          </w:p>
        </w:tc>
        <w:tc>
          <w:tcPr>
            <w:tcW w:type="dxa" w:w="67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+1 265.26 $ — R/R ~14 — 3 jours</w:t>
            </w:r>
          </w:p>
        </w:tc>
      </w:tr>
    </w:tbl>
    <w:p>
      <w:pPr>
        <w:pBdr>
          <w:bottom w:val="single" w:color="2E75B6" w:sz="6" w:space="1"/>
        </w:pBdr>
        <w:spacing w:after="180" w:before="180"/>
      </w:pPr>
    </w:p>
    <w:p>
      <w:pPr>
        <w:pStyle w:val="Heading1"/>
        <w:spacing w:after="180" w:before="380"/>
      </w:pPr>
      <w:r>
        <w:rPr>
          <w:rFonts w:ascii="Arial" w:cs="Arial" w:eastAsia="Arial" w:hAnsi="Arial"/>
          <w:b/>
          <w:bCs/>
          <w:color w:val="1E3A5F"/>
          <w:sz w:val="34"/>
          <w:szCs w:val="34"/>
        </w:rPr>
        <w:t xml:space="preserve">9. Règles 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Règle</w:t>
            </w:r>
          </w:p>
        </w:tc>
        <w:tc>
          <w:tcPr>
            <w:tcW w:type="dxa" w:w="6360"/>
            <w:tcBorders>
              <w:top w:val="single" w:color="CCCCCC" w:sz="1"/>
              <w:left w:val="single" w:color="CCCCCC" w:sz="1"/>
              <w:bottom w:val="single" w:color="CCCCCC" w:sz="1"/>
              <w:right w:val="single" w:color="CCCCCC" w:sz="1"/>
            </w:tcBorders>
            <w:shd w:fill="1E3A5F" w:val="clear"/>
            <w:tcMar>
              <w:top w:type="dxa" w:w="70"/>
              <w:left w:type="dxa" w:w="150"/>
              <w:bottom w:type="dxa" w:w="70"/>
              <w:right w:type="dxa" w:w="150"/>
            </w:tcMar>
          </w:tcPr>
          <w:p>
            <w:r>
              <w:rPr>
                <w:rFonts w:ascii="Arial" w:cs="Arial" w:eastAsia="Arial" w:hAnsi="Arial"/>
                <w:b/>
                <w:bCs/>
                <w:color w:val="FFFFFF"/>
                <w:sz w:val="19"/>
                <w:szCs w:val="19"/>
              </w:rPr>
              <w:t xml:space="preserve">Détail</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1. Direction = HTF</w:t>
            </w:r>
          </w:p>
        </w:tc>
        <w:tc>
          <w:tcPr>
            <w:tcW w:type="dxa" w:w="6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Toujours dans le sens du niveau Daily/Weekly</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2. Qualité &gt; quantité</w:t>
            </w:r>
          </w:p>
        </w:tc>
        <w:tc>
          <w:tcPr>
            <w:tcW w:type="dxa" w:w="6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3 trades parfaits valent mieux que 30 moyens</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3. SL avant l'entrée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Défini AVANT d'entrer, jamais après</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4. BE obligatoire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Dès cassure M15 confirmée</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5. Ne pas forcer</w:t>
            </w:r>
          </w:p>
        </w:tc>
        <w:tc>
          <w:tcPr>
            <w:tcW w:type="dxa" w:w="6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Pas de setup = pas de trade</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6. Untouched = premium</w:t>
            </w:r>
          </w:p>
        </w:tc>
        <w:tc>
          <w:tcPr>
            <w:tcW w:type="dxa" w:w="6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Privilégier les niveaux jamais touchés</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7. Confluence minimum</w:t>
            </w:r>
          </w:p>
        </w:tc>
        <w:tc>
          <w:tcPr>
            <w:tcW w:type="dxa" w:w="6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Jamais sur un seul signal — minimum 3</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50"/>
              <w:bottom w:type="dxa" w:w="70"/>
              <w:right w:type="dxa" w:w="150"/>
            </w:tcMar>
          </w:tcPr>
          <w:p>
            <w:r>
              <w:rPr>
                <w:rFonts w:ascii="Arial" w:cs="Arial" w:eastAsia="Arial" w:hAnsi="Arial"/>
                <w:sz w:val="19"/>
                <w:szCs w:val="19"/>
              </w:rPr>
              <w:t xml:space="preserve">8. Risque sur drawdown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sz w:val="19"/>
                <w:szCs w:val="19"/>
              </w:rPr>
              <w:t xml:space="preserve">Taille calculée sur le drawdown disponible</w:t>
            </w:r>
          </w:p>
        </w:tc>
      </w:tr>
    </w:tbl>
    <w:p>
      <w:pPr>
        <w:pBdr>
          <w:bottom w:val="single" w:color="2E75B6" w:sz="6" w:space="1"/>
        </w:pBdr>
        <w:spacing w:after="180" w:before="180"/>
      </w:pPr>
    </w:p>
    <w:p>
      <w:pPr>
        <w:spacing w:after="70" w:before="70"/>
      </w:pPr>
      <w:r>
        <w:rPr>
          <w:rFonts w:ascii="Arial" w:cs="Arial" w:eastAsia="Arial" w:hAnsi="Arial"/>
          <w:i/>
          <w:iCs/>
          <w:color w:val="595959"/>
          <w:sz w:val="22"/>
          <w:szCs w:val="22"/>
        </w:rPr>
        <w:t xml:space="preserve">Guide Éducatif — Niveaux d'Origine &amp; Confluences — Juin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0" w:hanging="350"/>
      </w:pPr>
    </w:lvl>
  </w:abstractNum>
  <w:abstractNum w:abstractNumId="3" w15:restartNumberingAfterBreak="0">
    <w:multiLevelType w:val="hybridMultilevel"/>
    <w:lvl w:ilvl="0" w15:tentative="1">
      <w:start w:val="1"/>
      <w:numFmt w:val="decimal"/>
      <w:lvlText w:val="%1."/>
      <w:lvlJc w:val="left"/>
      <w:pPr>
        <w:ind w:left="700" w:hanging="35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80"/>
      <w:outlineLvl w:val="0"/>
    </w:pPr>
    <w:rPr>
      <w:rFonts w:ascii="Arial" w:cs="Arial" w:eastAsia="Arial" w:hAnsi="Arial"/>
      <w:b/>
      <w:bCs/>
      <w:color w:val="1E3A5F"/>
      <w:sz w:val="34"/>
      <w:szCs w:val="34"/>
    </w:rPr>
  </w:style>
  <w:style w:type="paragraph" w:styleId="Heading2">
    <w:name w:val="Heading 2"/>
    <w:basedOn w:val="Normal"/>
    <w:next w:val="Normal"/>
    <w:qFormat/>
    <w:pPr>
      <w:spacing w:after="150" w:before="280"/>
      <w:outlineLvl w:val="1"/>
    </w:pPr>
    <w:rPr>
      <w:rFonts w:ascii="Arial" w:cs="Arial" w:eastAsia="Arial" w:hAnsi="Arial"/>
      <w:b/>
      <w:bCs/>
      <w:color w:val="2E75B6"/>
      <w:sz w:val="27"/>
      <w:szCs w:val="27"/>
    </w:rPr>
  </w:style>
  <w:style w:type="paragraph" w:styleId="Heading3">
    <w:name w:val="Heading 3"/>
    <w:basedOn w:val="Normal"/>
    <w:next w:val="Normal"/>
    <w:qFormat/>
    <w:pPr>
      <w:spacing w:after="110" w:before="20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2026-06-20T22:32:10.403Z</dcterms:created>
  <dcterms:modified xsi:type="dcterms:W3CDTF">2026-06-20T22:32:10.403Z</dcterms:modified>
</cp:coreProperties>
</file>

<file path=docProps/custom.xml><?xml version="1.0" encoding="utf-8"?>
<Properties xmlns="http://schemas.openxmlformats.org/officeDocument/2006/custom-properties" xmlns:vt="http://schemas.openxmlformats.org/officeDocument/2006/docPropsVTypes"/>
</file>