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0"/>
          <w:szCs w:val="50"/>
        </w:rPr>
        <w:t xml:space="preserve">技 术 架 构 设 计 文 档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36"/>
          <w:szCs w:val="36"/>
        </w:rPr>
        <w:t xml:space="preserve">成交官 · 跨境 B2B AI 询盘成交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Technical Architecture Design</w:t>
      </w:r>
    </w:p>
    <w:p>
      <w:pPr>
        <w:spacing w:after="80" w:before="8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参赛赛事：滴水湖全球 OPC 人工智能挑战赛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参赛赛道：跨境服务赛区 · 跨境 IT 服务赛道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文档版本：V1.1　|　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一、引言</w:t>
      </w:r>
    </w:p>
    <w:p>
      <w:pPr>
        <w:pStyle w:val="Heading2"/>
      </w:pPr>
      <w:r>
        <w:t xml:space="preserve">1.1 文档信息与修订历史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编写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参赛团队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首次发布，建立技术架构基线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V1.1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参赛团队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Agent 编排选型确定为 PydanticAI；后端统一为 Python / FastAPI</w:t>
            </w:r>
          </w:p>
        </w:tc>
      </w:tr>
    </w:tbl>
    <w:p>
      <w:pPr>
        <w:pStyle w:val="Heading2"/>
      </w:pPr>
      <w:r>
        <w:t xml:space="preserve">1.2 编写目的与范围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本文档描述“成交官”的总体技术架构、核心子系统设计、关键流程、数据与技术选型、安全合规与部署运维方案，作为研发实现与技术评审的依据。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预期读者：技术评审与研发 / 测试人员。关联文档：《市场调研报告》《产品设计文档》《需求规格说明书》。</w:t>
      </w:r>
    </w:p>
    <w:p>
      <w:pPr>
        <w:pStyle w:val="Heading2"/>
      </w:pPr>
      <w:r>
        <w:t xml:space="preserve">1.3 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 编排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以大模型为大脑、通过工具调用与状态机推进任务的执行框架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RAG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检索增强生成，将私有知识检索后注入大模型上下文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护栏 Guardrail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对自动行为（尤其报价）施加的硬约束与拦截机制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形式发票（Proforma Invoice）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MOQ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最小起订量（Minimum Order Quantity）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底价红线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卖家设定、报价不可突破的最低成交价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Webhook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渠道事件主动回调本系统的集成方式</w:t>
            </w:r>
          </w:p>
        </w:tc>
      </w:tr>
    </w:tbl>
    <w:p>
      <w:pPr>
        <w:pStyle w:val="Heading1"/>
      </w:pPr>
      <w:r>
        <w:t xml:space="preserve">二、架构设计目标与约束</w:t>
      </w:r>
    </w:p>
    <w:p>
      <w:pPr>
        <w:pStyle w:val="Heading2"/>
      </w:pPr>
      <w:r>
        <w:t xml:space="preserve">2.1 设计目标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可控可信：报价等关键行为受服务端硬约束，全流程可审计，支持人工随时接管。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可落地：组件精简、以托管服务为主，小团队 / 一人即可开发与运维（契合 OPC）。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可扩展：渠道、品类、能力可插拔扩展，支持从 MVP 平滑演进。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高可用与实时：7×24 运行，常规应答秒级；异步削峰、失败可重试。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中立性：渠道与大模型供应商可替换，避免被单一生态绑定。</w:t>
      </w:r>
    </w:p>
    <w:p>
      <w:pPr>
        <w:pStyle w:val="Heading2"/>
      </w:pPr>
      <w:r>
        <w:t xml:space="preserve">2.2 约束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依赖各渠道官方 API 的能力、配额与合规要求（如 WhatsApp 模板审核）。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受大模型能力、时延与成本约束，需结合检索、缓存与分级模型控制。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数据需满足 GDPR 等跨境数据合规要求。</w:t>
      </w:r>
    </w:p>
    <w:p>
      <w:pPr>
        <w:pStyle w:val="Heading1"/>
      </w:pPr>
      <w:r>
        <w:t xml:space="preserve">三、总体架构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系统采用分层架构，自上而下为接入层、Agent 编排层、能力服务层与数据层，并通过外部服务获取大模型、汇率与渠道能力。各层职责单一、边界清晰，便于独立演进与替换（见图 1）。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成交官分层技术架构图" descr="成交官分层技术架构图" title="成交官分层技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888888"/>
          <w:sz w:val="17"/>
          <w:szCs w:val="17"/>
        </w:rPr>
        <w:t xml:space="preserve">图 1　成交官分层技术架构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分层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接入层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统一接入独立站表单、邮件、WhatsApp、阿里国际站、社媒等渠道，归一化为内部消息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 编排层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核心大脑：编排引擎（状态机）+ 大模型 + 工具调用，驱动甄别、理解、议价、跟进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能力服务层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报价引擎、知识库 &amp; RAG、护栏 &amp; 审计、通知 &amp; 人工接管等可复用能力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数据层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关系数据库、向量库、对象存储、队列与缓存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外部服务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大模型 API、汇率数据源、各渠道官方 API</w:t>
            </w:r>
          </w:p>
        </w:tc>
      </w:tr>
    </w:tbl>
    <w:p>
      <w:pPr>
        <w:pStyle w:val="Heading1"/>
      </w:pPr>
      <w:r>
        <w:t xml:space="preserve">四、架构分层详解</w:t>
      </w:r>
    </w:p>
    <w:p>
      <w:pPr>
        <w:pStyle w:val="Heading2"/>
      </w:pPr>
      <w:r>
        <w:t xml:space="preserve">4.1 接入层（全渠道接入网关）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以网关模式统一对接各渠道：独立站表单经 Webhook / 嵌入脚本接入，邮件经 IMAP 收取、SMTP 发送，WhatsApp 经官方 Cloud API，阿里国际站与社媒经各自接口。网关负责协议适配、消息归一化、身份关联与去重，向上层屏蔽渠道差异。</w:t>
      </w:r>
    </w:p>
    <w:p>
      <w:pPr>
        <w:pStyle w:val="Heading2"/>
      </w:pPr>
      <w:r>
        <w:t xml:space="preserve">4.2 Agent 编排层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系统大脑。编排引擎以状态机推进“接收 → 甄别 → 理解 → 应答报价 → 议价 → 跟进 → 转人工 → 沉淀”，大模型负责语义理解与生成，工具调用（function calling）连接报价引擎、知识检索、CRM 等能力。每一步均可读取记忆并写回状态。</w:t>
      </w:r>
    </w:p>
    <w:p>
      <w:pPr>
        <w:pStyle w:val="Heading2"/>
      </w:pPr>
      <w:r>
        <w:t xml:space="preserve">4.3 能力服务层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沉淀可复用的领域能力：报价引擎（规则 + 大模型）、知识库与 RAG、护栏与审计、通知与人工接管。能力以服务化方式被编排层按需调用，便于独立扩展与替换。</w:t>
      </w:r>
    </w:p>
    <w:p>
      <w:pPr>
        <w:pStyle w:val="Heading2"/>
      </w:pPr>
      <w:r>
        <w:t xml:space="preserve">4.4 数据层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提供持久化与检索：关系数据库保存业务数据，向量库支撑语义检索，对象存储存放文件与 PI，队列与缓存支撑异步、限流与会话状态。</w:t>
      </w:r>
    </w:p>
    <w:p>
      <w:pPr>
        <w:pStyle w:val="Heading1"/>
      </w:pPr>
      <w:r>
        <w:t xml:space="preserve">五、核心子系统设计</w:t>
      </w:r>
    </w:p>
    <w:p>
      <w:pPr>
        <w:pStyle w:val="Heading2"/>
      </w:pPr>
      <w:r>
        <w:t xml:space="preserve">5.1 全渠道接入网关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对每个渠道实现一个适配器，统一输出标准消息结构（渠道、客户标识、内容、附件、时间）。入站消息以渠道消息 ID 去重并入队，保证幂等；出站统一经网关按渠道协议发送，并处理模板消息与频控。</w:t>
      </w:r>
    </w:p>
    <w:p>
      <w:pPr>
        <w:pStyle w:val="Heading2"/>
      </w:pPr>
      <w:r>
        <w:t xml:space="preserve">5.2 Agent 编排引擎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基于 PydanticAI 框架实现“状态机 + 大模型 + 工具”的编排：以 Pydantic Graph 定义可推进的节点与转移条件，大模型在每个节点做决策与生成，function tools 执行具体动作（查产品、算报价、写 CRM、发跟进），并以结构化输出保证报价等数据的字段稳定。所有自动动作在执行前经过护栏校验；报价、合同等敏感工具调用使用框架的人工审批（human-in-the-loop tool approval）能力，须经卖家确认后才执行，即对应转人工。</w:t>
      </w:r>
    </w:p>
    <w:p>
      <w:pPr>
        <w:pStyle w:val="Heading2"/>
      </w:pPr>
      <w:r>
        <w:t xml:space="preserve">5.3 知识库与 RAG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将卖家的产品库、价格政策、FAQ、话术切分入库并向量化；应答与议价时按需检索相关片段注入上下文，保证回答有据可依（grounding），降低幻觉。知识更新即时生效。</w:t>
      </w:r>
    </w:p>
    <w:p>
      <w:pPr>
        <w:pStyle w:val="Heading2"/>
      </w:pPr>
      <w:r>
        <w:t xml:space="preserve">5.4 报价引擎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规则引擎与大模型协同：规则引擎按成本、物流、汇率、利润率、阶梯价、MOQ、有效期计算价格并执行底价红线校验；大模型负责自然语言表达与生成报价 / PI。任何突破底价的结果不自动发送，转人工确认。</w:t>
      </w:r>
    </w:p>
    <w:p>
      <w:pPr>
        <w:pStyle w:val="Heading2"/>
      </w:pPr>
      <w:r>
        <w:t xml:space="preserve">5.5 询盘甄别服务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综合邮箱 / 域名、公司背调、内容具体度与行为信号，输出 A/B/C 分级与优先级；疑似同行套价或垃圾标记为 C 级。分级结果可被编排层用于差异化处理，也可人工修正。</w:t>
      </w:r>
    </w:p>
    <w:p>
      <w:pPr>
        <w:pStyle w:val="Heading2"/>
      </w:pPr>
      <w:r>
        <w:t xml:space="preserve">5.6 护栏与审计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护栏在服务端强约束（前端不可绕过）：底价红线、敏感操作（合同 / 付款 / 大单 / 超额折扣）拦截并转人工。审计模块对每次自动报价与回复留痕，支持回溯与纠正。</w:t>
      </w:r>
    </w:p>
    <w:p>
      <w:pPr>
        <w:pStyle w:val="Heading2"/>
      </w:pPr>
      <w:r>
        <w:t xml:space="preserve">5.7 人工接管与通知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命中护栏或卖家主动介入时切换为人工模式；转人工时自动生成对话摘要与建议，并经站内 / 邮件 / IM 通知卖家，进入“待我处理”队列。</w:t>
      </w:r>
    </w:p>
    <w:p>
      <w:pPr>
        <w:pStyle w:val="Heading1"/>
      </w:pPr>
      <w:r>
        <w:t xml:space="preserve">六、关键流程：询盘处理流水线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一条询盘从进入到发出回复，经过接入网关归一化、编排引擎调度、甄别理解、报价（含护栏校验）、生成回复与多渠道发出；触及红线则暂停并转人工，全链路写入审计、CRM 与会话记忆（见图 2）。</w:t>
      </w:r>
    </w:p>
    <w:p>
      <w:pPr>
        <w:spacing w:after="20" w:before="120"/>
        <w:jc w:val="center"/>
      </w:pPr>
      <w:r>
        <w:drawing>
          <wp:inline distT="0" distB="0" distL="0" distR="0">
            <wp:extent cx="5905500" cy="1619250"/>
            <wp:effectExtent t="0" r="0" b="0" l="0"/>
            <wp:docPr id="1" name="询盘处理流水线图" descr="询盘处理流水线图" title="询盘处理流水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888888"/>
          <w:sz w:val="17"/>
          <w:szCs w:val="17"/>
        </w:rPr>
        <w:t xml:space="preserve">图 2　询盘处理流水线</w:t>
      </w:r>
    </w:p>
    <w:p>
      <w:pPr>
        <w:pStyle w:val="Heading1"/>
      </w:pPr>
      <w:r>
        <w:t xml:space="preserve">七、数据架构</w:t>
      </w:r>
    </w:p>
    <w:p>
      <w:pPr>
        <w:pStyle w:val="Heading2"/>
      </w:pPr>
      <w:r>
        <w:t xml:space="preserve">7.1 核心实体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核心实体包括询盘、客户、产品、价格规则、报价 / PI、会话、跟进任务与审计日志，彼此通过客户与询盘主键关联，详见《需求规格说明书》数据需求章节。</w:t>
      </w:r>
    </w:p>
    <w:p>
      <w:pPr>
        <w:pStyle w:val="Heading2"/>
      </w:pPr>
      <w:r>
        <w:t xml:space="preserve">7.2 存储选型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存储方案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结构化业务数据（询盘 / 客户 / 产品 / 报价 / 任务）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关系数据库（PostgreSQL）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语义检索（产品 / FAQ / 政策）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向量库（pgvector 或专用向量库）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文件（产品图片 / 附件 / PI）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对象存储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会话状态 / 限流 / 异步任务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缓存与消息队列（如 Redis + 队列）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审计日志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追加写日志表 / 日志服务</w:t>
            </w:r>
          </w:p>
        </w:tc>
      </w:tr>
    </w:tbl>
    <w:p>
      <w:pPr>
        <w:pStyle w:val="Heading1"/>
      </w:pPr>
      <w:r>
        <w:t xml:space="preserve">八、技术选型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层 / 模块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选型建议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前端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TypeScript + 组件库（Tailwind / Ant Design），SPA 工作台 + 移动端轻量页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后端服务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Python（FastAPI），提供 REST 与 Webhook（与 PydanticAI 同属 Pydantic 生态）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 编排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PydanticAI（Python agent 框架）：function tools、结构化输出、人工审批（护栏 / 转人工）、Graph 状态机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大模型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经 API 接入，封装供应商抽象层以便切换；按任务分级使用模型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数据存储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+ pgvector、对象存储、Redis 与消息队列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部署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容器化（Docker）+ 云托管，优先托管型服务以降低运维负担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可观测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结构化日志 + 指标 + 告警（可选 Pydantic Logfire，与 PydanticAI 原生集成）</w:t>
            </w:r>
          </w:p>
        </w:tc>
      </w:tr>
    </w:tbl>
    <w:p>
      <w:pPr>
        <w:pStyle w:val="Heading1"/>
      </w:pPr>
      <w:r>
        <w:t xml:space="preserve">九、集成与接口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集成对象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接入方式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独立站表单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Webhook / 嵌入脚本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邮件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IMAP 收取 + SMTP 发送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WhatsApp Business Cloud API + 模板消息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阿里国际站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站内信接口 / 同步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社媒（IG / FB）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各平台 Messaging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大模型服务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供应商 API（封装抽象层）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汇率数据源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第三方汇率 API</w:t>
            </w:r>
          </w:p>
        </w:tc>
      </w:tr>
    </w:tbl>
    <w:p>
      <w:pPr>
        <w:pStyle w:val="Heading1"/>
      </w:pPr>
      <w:r>
        <w:t xml:space="preserve">十、安全与合规架构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传输与存储：全链路 TLS，敏感数据加密存储。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访问控制：账号鉴权、最小权限；密钥与凭证集中托管（KMS / Secret Manager）。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审计：关键操作全量留痕，可回溯、可纠正。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数据合规：遵循 GDPR，数据最小化、可删除，关注数据存储地域。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渠道合规：仅用官方 API，遵守频控与模板审核（如 WhatsApp）；AI 身份披露可配置。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报价护栏：底价红线在服务端强约束，前端不可绕过。</w:t>
      </w:r>
    </w:p>
    <w:p>
      <w:pPr>
        <w:pStyle w:val="Heading1"/>
      </w:pPr>
      <w:r>
        <w:t xml:space="preserve">十一、部署与运维架构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环境：开发 / 预发 / 生产分离。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部署：无状态服务容器化、可水平扩展；有状态部分使用托管数据库与存储。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异步：渠道消息入队，由 worker 消费，实现削峰、重试与死信处理。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可观测：结构化日志、核心指标（应答时延 / 自动处理率）、异常告警（渠道失败、护栏触发激增）。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备份与恢复：数据库定期备份并演练恢复。</w:t>
      </w:r>
    </w:p>
    <w:p>
      <w:pPr>
        <w:pStyle w:val="Heading1"/>
      </w:pPr>
      <w:r>
        <w:t xml:space="preserve">十二、可靠性与性能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时延：常规应答秒级；大模型调用做流式输出、超时与降级。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幂等：渠道消息按消息 ID 去重，避免重复处理与重复发送。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重试：失败任务进入重试 / 死信队列。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限流：遵守各渠道与大模型的速率限制。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降级：大模型不可用时转人工 / 排队，保证不丢询盘。</w:t>
      </w:r>
    </w:p>
    <w:p>
      <w:pPr>
        <w:pStyle w:val="Heading1"/>
      </w:pPr>
      <w:r>
        <w:t xml:space="preserve">十三、成本与 OPC 适配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以托管服务、按量计费为主，压低固定成本。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大模型成本：上下文裁剪、检索按需、缓存复用，简单任务用小模型。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可单人运维：组件精简、托管化、自动告警，契合一人公司运营。</w:t>
      </w:r>
    </w:p>
    <w:p>
      <w:pPr>
        <w:pStyle w:val="Heading1"/>
      </w:pPr>
      <w:r>
        <w:t xml:space="preserve">十四、架构演进路线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架构演进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P0（MVP / Demo）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单体式后端 + 三渠道接入 + 核心 Agent 闭环 + PostgreSQL/pgvector + 基础护栏与审计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拆分异步 worker、引入队列，扩展渠道与品类，完善看板、通知与配置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能力服务化（报价 / 甄别独立服务）、多租户与弹性伸缩优化</w:t>
            </w:r>
          </w:p>
        </w:tc>
      </w:tr>
    </w:tbl>
    <w:p>
      <w:pPr>
        <w:pStyle w:val="Heading1"/>
      </w:pPr>
      <w:r>
        <w:t xml:space="preserve">十五、技术风险与对策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大模型输出不稳定 / 幻觉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结构化约束 + RAG grounding + 护栏 + 人工兜底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报价错误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服务端规则校验 + 底价硬约束 + 人工确认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渠道 API 变更 / 封控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抽象接入层、使用官方 API、合规使用与频控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数据安全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加密、权限、审计、合规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成本失控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模型分级、缓存、上下文裁剪、用量监控告警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成交官 · 技术架构设计文档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8b201c02c6bd8ceea38bd775919747babcdff3.png"/><Relationship Id="rId10" Type="http://schemas.openxmlformats.org/officeDocument/2006/relationships/image" Target="media/0d9de6ddf3e5cd995896c4a12b65279e18e0a4e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成交官 技术架构设计文档</dc:title>
  <dc:creator>OPC 参赛团队</dc:creator>
  <cp:lastModifiedBy>Un-named</cp:lastModifiedBy>
  <cp:revision>1</cp:revision>
  <dcterms:created xsi:type="dcterms:W3CDTF">2026-06-02T07:27:07.460Z</dcterms:created>
  <dcterms:modified xsi:type="dcterms:W3CDTF">2026-06-02T07:27:07.472Z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