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Arial" w:hAnsi="Arial"/>
          <w:b/>
          <w:color w:val="B71524"/>
          <w:sz w:val="44"/>
        </w:rPr>
        <w:t>Information About Expertise: Selecting Transformation Opportunities</w:t>
      </w:r>
    </w:p>
    <w:p>
      <w:pPr>
        <w:spacing w:after="360"/>
      </w:pPr>
      <w:r>
        <w:rPr>
          <w:rFonts w:ascii="Arial" w:hAnsi="Arial"/>
          <w:color w:val="4D4D4D"/>
          <w:sz w:val="22"/>
        </w:rPr>
        <w:t>Raw material to inform a codified guide</w:t>
      </w:r>
    </w:p>
    <w:p>
      <w:pPr>
        <w:spacing w:after="80" w:line="254" w:lineRule="auto"/>
      </w:pPr>
      <w:r>
        <w:rPr>
          <w:rFonts w:ascii="Arial" w:hAnsi="Arial"/>
          <w:sz w:val="21"/>
        </w:rPr>
        <w:t>This document is intentionally not yet the final codified expertise. It captures the information base: principles, observations and practitioner insights that inform how to choose a worthwhile transformation opportunity. It should be refined into a codified guide before being used as AI coaching context.</w:t>
      </w:r>
    </w:p>
    <w:p>
      <w:pPr>
        <w:spacing w:before="200" w:after="100"/>
      </w:pPr>
      <w:r>
        <w:rPr>
          <w:rFonts w:ascii="Arial" w:hAnsi="Arial"/>
          <w:b/>
          <w:color w:val="B71524"/>
          <w:sz w:val="30"/>
        </w:rPr>
        <w:t>1. The professional judgement we are trying to support</w:t>
      </w:r>
    </w:p>
    <w:p>
      <w:pPr>
        <w:spacing w:after="80" w:line="254" w:lineRule="auto"/>
      </w:pPr>
      <w:r>
        <w:rPr>
          <w:rFonts w:ascii="Arial" w:hAnsi="Arial"/>
          <w:sz w:val="21"/>
        </w:rPr>
        <w:t>The judgement is: which organisational transformation opportunity is worth pursuing, and what should be learned, demonstrated or established first to move it forward responsibly?</w:t>
      </w:r>
    </w:p>
    <w:p>
      <w:pPr>
        <w:spacing w:before="200" w:after="100"/>
      </w:pPr>
      <w:r>
        <w:rPr>
          <w:rFonts w:ascii="Arial" w:hAnsi="Arial"/>
          <w:b/>
          <w:color w:val="B71524"/>
          <w:sz w:val="30"/>
        </w:rPr>
        <w:t>2. Recurring insights from transformation practice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shd w:fill="B71524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Insight</w:t>
            </w:r>
          </w:p>
        </w:tc>
        <w:tc>
          <w:tcPr>
            <w:tcW w:type="dxa" w:w="7776"/>
            <w:shd w:fill="B71524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Why it matters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Value before technology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Start with the organisational objective and the value to be created, not the AI tool.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Challenge before optimise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 not assume the current process is the right thing to automate. Ask whether work should be improved, redesigned or reinvented.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Whole-system thinking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AI transformation can change decisions, roles, teams, services, data, controls and operating models, not only workflows.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Evidence over slideware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Ideas should move towards observable evidence, experiments, tests, implementation decisions or stakeholder learning.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Responsibility by design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Risk, data, permissions, human oversight and stakeholder consequences matter from the beginning.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Cross-disciplinary reality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Business, technology, data, risk, security, legal, operations and users may all affect whether an opportunity can work.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Arial" w:hAnsi="Arial"/>
          <w:b/>
          <w:color w:val="B71524"/>
          <w:sz w:val="30"/>
        </w:rPr>
        <w:t>3. Practitioner heuristics worth preserving</w:t>
      </w:r>
    </w:p>
    <w:p>
      <w:pPr>
        <w:spacing w:after="60"/>
        <w:ind w:left="259" w:hanging="173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sz w:val="20"/>
        </w:rPr>
        <w:t>An opportunity does not have to be flashy to be valuable. Repetitive, mundane work can be strategically important if it consumes scarce capacity or prevents higher-value work.</w:t>
      </w:r>
    </w:p>
    <w:p>
      <w:pPr>
        <w:spacing w:after="60"/>
        <w:ind w:left="259" w:hanging="173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sz w:val="20"/>
        </w:rPr>
        <w:t>A project copied from another organisation may be inappropriate if the context, incentives, data, processes or constraints differ.</w:t>
      </w:r>
    </w:p>
    <w:p>
      <w:pPr>
        <w:spacing w:after="60"/>
        <w:ind w:left="259" w:hanging="173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sz w:val="20"/>
        </w:rPr>
        <w:t>A smaller initiative within a real sphere of influence can be preferable to a large initiative that cannot move.</w:t>
      </w:r>
    </w:p>
    <w:p>
      <w:pPr>
        <w:spacing w:after="60"/>
        <w:ind w:left="259" w:hanging="173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sz w:val="20"/>
        </w:rPr>
        <w:t>Showing an outcome often changes the conversation more than explaining an idea. What is shown need not be an app; it can be evidence, a redesigned process, a quantified baseline, a tested workflow or a concrete decision.</w:t>
      </w:r>
    </w:p>
    <w:p>
      <w:pPr>
        <w:spacing w:after="60"/>
        <w:ind w:left="259" w:hanging="173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sz w:val="20"/>
        </w:rPr>
        <w:t>The gap between experimentation and production should be acknowledged early, but should not prevent learning through bounded action.</w:t>
      </w:r>
    </w:p>
    <w:p>
      <w:pPr>
        <w:spacing w:after="60"/>
        <w:ind w:left="259" w:hanging="173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sz w:val="20"/>
        </w:rPr>
        <w:t>The first useful advance may be validation, quantified evidence, sponsorship, data access or decision clarity rather than technology.</w:t>
      </w:r>
    </w:p>
    <w:p>
      <w:pPr>
        <w:spacing w:before="200" w:after="100"/>
      </w:pPr>
      <w:r>
        <w:rPr>
          <w:rFonts w:ascii="Arial" w:hAnsi="Arial"/>
          <w:b/>
          <w:color w:val="B71524"/>
          <w:sz w:val="30"/>
        </w:rPr>
        <w:t>4. Common weak forms of reasoning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456"/>
            <w:shd w:fill="B71524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Weak reasoning</w:t>
            </w:r>
          </w:p>
        </w:tc>
        <w:tc>
          <w:tcPr>
            <w:tcW w:type="dxa" w:w="7200"/>
            <w:shd w:fill="B71524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Why it is insufficient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We should use AI for this.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This starts with the tool rather than the outcome.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Another organisation is doing it.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Context may be different. Copying is not evidence of fit.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It will save time.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Time saved is vague unless the baseline, beneficiaries and value of released capacity are understood.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We can build a prototype quickly.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Technical feasibility is not the same as organisational value or adoption.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This process exists, so we should automate it.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The process may itself be the thing that needs to change.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People will obviously use it.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Adoption depends on incentives, trust, workflow fit and perceived consequences.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Arial" w:hAnsi="Arial"/>
          <w:b/>
          <w:color w:val="B71524"/>
          <w:sz w:val="30"/>
        </w:rPr>
        <w:t>5. Important trade-offs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312"/>
            <w:shd w:fill="B71524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Trade-off</w:t>
            </w:r>
          </w:p>
        </w:tc>
        <w:tc>
          <w:tcPr>
            <w:tcW w:type="dxa" w:w="7344"/>
            <w:shd w:fill="B71524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Professional implication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Importance vs influence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 huge opportunity may be poor for a capstone if the participant cannot access evidence or move it forward.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Ambition vs tractability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 high-ambition transformation needs a credible next advance, not necessarily a full implementation.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Demonstrability vs depth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 visible demo can help, but shallow technology can distract from deeper organisational issues.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Speed vs confidence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Fast progress is useful only if it reduces the right uncertainty.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Local improvement vs system redesign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Optimising one task may shift bottlenecks elsewhere.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Arial" w:hAnsi="Arial"/>
          <w:b/>
          <w:color w:val="B71524"/>
          <w:sz w:val="30"/>
        </w:rPr>
        <w:t>6. What this information still lacks</w:t>
      </w:r>
    </w:p>
    <w:p>
      <w:pPr>
        <w:spacing w:after="80" w:line="254" w:lineRule="auto"/>
      </w:pPr>
      <w:r>
        <w:rPr>
          <w:rFonts w:ascii="Arial" w:hAnsi="Arial"/>
          <w:sz w:val="21"/>
        </w:rPr>
        <w:t>This material is useful, but not yet enough. To become operational, it must be turned into codified expertise: decision rules, diagnostic questions, warning signs, context dependencies and examples that an AI coach can apply consistently.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