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rFonts w:ascii="Roboto" w:hAnsi="Roboto"/>
          <w:b/>
          <w:color w:val="B71524"/>
          <w:sz w:val="18"/>
        </w:rPr>
        <w:t>PROFESSIONAL JUDGEMENT AS REUSABLE AI CONTEXT</w:t>
      </w:r>
    </w:p>
    <w:p>
      <w:pPr>
        <w:pStyle w:val="Title"/>
      </w:pPr>
      <w:r>
        <w:t>Codified Professional Expertise Handbook</w:t>
      </w:r>
    </w:p>
    <w:p>
      <w:pPr>
        <w:pStyle w:val="Subtitle"/>
      </w:pPr>
      <w:r>
        <w:t>Selecting organisational transformation opportunities worth pursuing in an AI-rich environment</w:t>
      </w:r>
    </w:p>
    <w:p>
      <w:pPr>
        <w:pStyle w:val="Lead"/>
      </w:pPr>
      <w:r>
        <w:t>This handbook codifies the professional judgement involved in deciding which organisational opportunities are worth pursuing, how deeply they should be explored, and what progress would materially increase their likelihood of success. It is written to be useful both to experienced professionals and as durable reference context for an AI thinking partner. It is not a scoring model and it is not a substitute for organisational or domain expertise.</w:t>
      </w:r>
    </w:p>
    <w:tbl>
      <w:tblPr>
        <w:tblW w:type="auto" w:w="0"/>
        <w:jc w:val="center"/>
        <w:tblLayout w:type="autofit"/>
        <w:tblLook w:firstColumn="1" w:firstRow="1" w:lastColumn="0" w:lastRow="0" w:noHBand="0" w:noVBand="1" w:val="04A0"/>
      </w:tblPr>
      <w:tblGrid>
        <w:gridCol w:w="9994"/>
      </w:tblGrid>
      <w:tr>
        <w:trPr>
          <w:cantSplit/>
        </w:trPr>
        <w:tc>
          <w:tcPr>
            <w:tcW w:type="dxa" w:w="9994"/>
            <w:shd w:fill="F7F0F0"/>
            <w:tcMar>
              <w:top w:w="150" w:type="dxa"/>
              <w:start w:w="180" w:type="dxa"/>
              <w:bottom w:w="150" w:type="dxa"/>
              <w:end w:w="180" w:type="dxa"/>
            </w:tcMar>
            <w:vAlign w:val="center"/>
          </w:tcPr>
          <w:p>
            <w:pPr>
              <w:spacing w:after="0"/>
            </w:pPr>
            <w:r>
              <w:rPr>
                <w:b/>
                <w:color w:val="B71524"/>
              </w:rPr>
              <w:t xml:space="preserve">Core question  </w:t>
            </w:r>
            <w:r>
              <w:rPr>
                <w:color w:val="1D1D1B"/>
              </w:rPr>
              <w:t>The central judgement is not "What AI use case should we build?" It is "What organisational change is genuinely worth pursuing, why, and what should we learn or establish next before committing further?"</w:t>
            </w:r>
          </w:p>
        </w:tc>
      </w:tr>
    </w:tbl>
    <w:p>
      <w:pPr>
        <w:spacing w:after="40"/>
      </w:pPr>
    </w:p>
    <w:p>
      <w:pPr>
        <w:pStyle w:val="Heading2"/>
      </w:pPr>
      <w:r>
        <w:t>How to use this handbook</w:t>
      </w:r>
    </w:p>
    <w:p>
      <w:r>
        <w:t>The handbook is deliberately written as professional reasoning rather than as a checklist. The aim is to make explicit the patterns that experienced practitioners use: where they start, what makes them sceptical, what evidence changes their confidence, how they navigate trade-offs, and when they refuse to answer without more context. An AI system can use this material to ask better questions and challenge weak reasoning, but the professional remains responsible for the judgement.</w:t>
      </w:r>
    </w:p>
    <w:p>
      <w:r>
        <w:t>The sections broadly follow the movement from a vague opportunity towards a defensible decision. That movement is iterative. New evidence can send the professional back to the problem framing, a stakeholder conversation can change the perceived value, and an implementation constraint can expose that the opportunity itself was poorly chosen. Good transformation work is evidence-led rather than stage-gated.</w:t>
      </w:r>
    </w:p>
    <w:p>
      <w:r>
        <w:br w:type="page"/>
      </w:r>
    </w:p>
    <w:p>
      <w:pPr>
        <w:pStyle w:val="Heading1"/>
      </w:pPr>
      <w:r>
        <w:t>1. The judgement comes before the project</w:t>
      </w:r>
    </w:p>
    <w:p>
      <w:pPr>
        <w:pStyle w:val="Lead"/>
      </w:pPr>
      <w:r>
        <w:t>Strong practitioners do not rush from an interesting idea to a project. They first decide whether the underlying opportunity deserves attention at all.</w:t>
      </w:r>
    </w:p>
    <w:p>
      <w:r>
        <w:t>The first mistake in transformation is often to begin too late in the reasoning. By the time a team is discussing a chatbot, agent, workflow or platform, it may already have accepted a problem definition, a scope and a solution direction that were never properly tested. Experienced practitioners spend more time than novices on the decision that precedes solution design: what is actually worth changing?</w:t>
      </w:r>
    </w:p>
    <w:p>
      <w:r>
        <w:t>That decision is highly contextual. The fact that another organisation, or even another team in the same industry, has implemented something successfully is useful information but weak evidence of fit. Processes differ, incentives differ, data differs, operating constraints differ and the underlying purpose of apparently similar work can differ. Copying a fashionable use case is therefore not a substitute for understanding the local system.</w:t>
      </w:r>
    </w:p>
    <w:p>
      <w:r>
        <w:t>A worthwhile opportunity normally connects three things. There is an organisational outcome that matters. There is a current reality that prevents that outcome from being achieved as well as it could be. And there is a plausible possibility of changing that reality in a way that creates meaningful value. AI may expand the possibility space, but it is not the starting point.</w:t>
      </w:r>
    </w:p>
    <w:p>
      <w:r>
        <w:t>The judgement should also remain provisional. Early confidence is useful for creating movement, but overconfidence is dangerous because the most important facts are often discovered only after speaking to users, operators, decision-makers or specialists. A strong professional chooses a direction while preserving the assumptions and unknowns that could still change it.</w:t>
      </w:r>
    </w:p>
    <w:tbl>
      <w:tblPr>
        <w:tblW w:type="auto" w:w="0"/>
        <w:jc w:val="center"/>
        <w:tblLayout w:type="autofit"/>
        <w:tblLook w:firstColumn="1" w:firstRow="1" w:lastColumn="0" w:lastRow="0" w:noHBand="0" w:noVBand="1" w:val="04A0"/>
      </w:tblPr>
      <w:tblGrid>
        <w:gridCol w:w="9994"/>
      </w:tblGrid>
      <w:tr>
        <w:trPr>
          <w:cantSplit/>
        </w:trPr>
        <w:tc>
          <w:tcPr>
            <w:tcW w:type="dxa" w:w="9994"/>
            <w:shd w:fill="F7F0F0"/>
            <w:tcMar>
              <w:top w:w="150" w:type="dxa"/>
              <w:start w:w="180" w:type="dxa"/>
              <w:bottom w:w="150" w:type="dxa"/>
              <w:end w:w="180" w:type="dxa"/>
            </w:tcMar>
            <w:vAlign w:val="center"/>
          </w:tcPr>
          <w:p>
            <w:pPr>
              <w:spacing w:after="0"/>
            </w:pPr>
            <w:r>
              <w:rPr>
                <w:b/>
                <w:color w:val="B71524"/>
              </w:rPr>
              <w:t xml:space="preserve">Professional rule  </w:t>
            </w:r>
            <w:r>
              <w:rPr>
                <w:color w:val="1D1D1B"/>
              </w:rPr>
              <w:t>A project framing is strong when it is specific enough to guide action, but provisional enough to be changed by evidence.</w:t>
            </w:r>
          </w:p>
        </w:tc>
      </w:tr>
    </w:tbl>
    <w:p>
      <w:pPr>
        <w:spacing w:after="40"/>
      </w:pPr>
    </w:p>
    <w:p>
      <w:pPr>
        <w:pStyle w:val="Heading1"/>
      </w:pPr>
      <w:r>
        <w:t>2. Start with value, not technology</w:t>
      </w:r>
    </w:p>
    <w:p>
      <w:r>
        <w:t>The most reliable starting point is the desired organisational outcome. What should be better if the transformation succeeds? For whom? Why does that improvement matter? These questions force the professional to articulate value before becoming attached to a particular technology.</w:t>
      </w:r>
    </w:p>
    <w:p>
      <w:r>
        <w:t>This matters because technical possibility can create an illusion of importance. A system can be impressive, easy to demonstrate and technically feasible while solving a problem that is peripheral to the organisation. Conversely, a mundane process can be an excellent transformation opportunity if it absorbs scarce expert capacity, creates material risk, slows an important decision, damages customer experience or prevents a strategic activity from happening.</w:t>
      </w:r>
    </w:p>
    <w:p>
      <w:r>
        <w:t>Experienced practitioners are particularly cautious with vague value language. "Efficiency", "productivity" and "time saving" are not yet value cases. A professional wants to know whose time is consumed, how much of it, what that capacity could be redeployed towards, whether the bottleneck genuinely matters and whether removing it changes the outcome that the organisation cares about. The same logic applies to claims about revenue, quality, risk or experience. The claim needs a causal story, not just an attractive label.</w:t>
      </w:r>
    </w:p>
    <w:p>
      <w:r>
        <w:t>Strategic relevance also matters, but it should not be confused with repeating the organisation's current slogans. Alignment is meaningful when the opportunity contributes to a priority in a way that can be explained. The stronger the ambition and the more resources it will eventually require, the more important that connection becomes. At the same time, strategic relevance is not only top-down. A problem that is materially important to a function or team can be the right entry point if it creates evidence and momentum for a larger transformation.</w:t>
      </w:r>
    </w:p>
    <w:p>
      <w:r>
        <w:t>Where possible, value should be quantified, but false precision should be avoided. A credible baseline, a range and explicit assumptions are usually more useful than an exact ROI built on invented numbers. Some benefits are naturally financial; others concern capacity, quality, resilience, risk reduction, customer outcomes or strategic capability. The professional task is to make the value legible enough to support a decision without pretending uncertainty has disappeared.</w:t>
      </w:r>
    </w:p>
    <w:tbl>
      <w:tblPr>
        <w:tblW w:type="auto" w:w="0"/>
        <w:jc w:val="center"/>
        <w:tblLayout w:type="autofit"/>
        <w:tblLook w:firstColumn="1" w:firstRow="1" w:lastColumn="0" w:lastRow="0" w:noHBand="0" w:noVBand="1" w:val="04A0"/>
      </w:tblPr>
      <w:tblGrid>
        <w:gridCol w:w="9994"/>
      </w:tblGrid>
      <w:tr>
        <w:trPr>
          <w:cantSplit/>
        </w:trPr>
        <w:tc>
          <w:tcPr>
            <w:tcW w:type="dxa" w:w="9994"/>
            <w:shd w:fill="F7F0F0"/>
            <w:tcMar>
              <w:top w:w="150" w:type="dxa"/>
              <w:start w:w="180" w:type="dxa"/>
              <w:bottom w:w="150" w:type="dxa"/>
              <w:end w:w="180" w:type="dxa"/>
            </w:tcMar>
            <w:vAlign w:val="center"/>
          </w:tcPr>
          <w:p>
            <w:pPr>
              <w:spacing w:after="0"/>
            </w:pPr>
            <w:r>
              <w:rPr>
                <w:b/>
                <w:color w:val="B71524"/>
              </w:rPr>
              <w:t xml:space="preserve">Decision rule  </w:t>
            </w:r>
            <w:r>
              <w:rPr>
                <w:color w:val="1D1D1B"/>
              </w:rPr>
              <w:t>If an opportunity cannot be explained without mentioning the technology, the framing is usually incomplete. First explain what should improve and why it matters; then explain what technology changes.</w:t>
            </w:r>
          </w:p>
        </w:tc>
      </w:tr>
    </w:tbl>
    <w:p>
      <w:pPr>
        <w:spacing w:after="40"/>
      </w:pPr>
    </w:p>
    <w:p>
      <w:pPr>
        <w:pStyle w:val="Heading1"/>
      </w:pPr>
      <w:r>
        <w:t>3. Understand the current system before redesigning it</w:t>
      </w:r>
    </w:p>
    <w:p>
      <w:r>
        <w:t>A pain point is not yet a diagnosis. People often report the most visible symptom: too much manual work, slow approvals, duplicated effort, poor information, inconsistent decisions. The experienced practitioner asks what system produces that symptom and why the system exists in its current form.</w:t>
      </w:r>
    </w:p>
    <w:p>
      <w:r>
        <w:t>Understanding the current system means following the work end to end. What enters the system? Who acts on it? Where are decisions made? What information is used? Which hand-offs create delay? What controls exist and why? What workarounds have users invented? Which steps require expertise and which exist because of historical technology or policy? Where is value created and where is it merely transferred from one team to another?</w:t>
      </w:r>
    </w:p>
    <w:p>
      <w:r>
        <w:t>This is also where professional judgement distinguishes stated process from actual behaviour. A procedure document can describe how work is supposed to happen while operators rely on spreadsheets, messaging apps, personal knowledge or informal escalation paths to make the system function. Interviews reveal perceptions; observation and operational evidence reveal behaviour. Neither is sufficient on its own. The strongest understanding comes from triangulating what people say, what the data shows and what actually happens.</w:t>
      </w:r>
    </w:p>
    <w:p>
      <w:r>
        <w:t>A good practitioner also looks for previous attempts to solve the problem. If an organisation has tried three times to automate the same process, the repeated failure may contain more useful information than a new technical demo. Perhaps the problem is data ownership, incentives, exceptions, regulatory responsibility or the fact that the process is compensating for a deeper organisational issue.</w:t>
      </w:r>
    </w:p>
    <w:p>
      <w:r>
        <w:t>The implication for AI-assisted thinking is important: when the description of current reality is thin, the AI should not compensate by inventing a neat system model. It should identify what is missing and ask for evidence. A sophisticated answer built on an inaccurate current-state model is still a bad answer.</w:t>
      </w:r>
    </w:p>
    <w:tbl>
      <w:tblPr>
        <w:tblW w:type="auto" w:w="0"/>
        <w:jc w:val="center"/>
        <w:tblLayout w:type="autofit"/>
        <w:tblLook w:firstColumn="1" w:firstRow="1" w:lastColumn="0" w:lastRow="0" w:noHBand="0" w:noVBand="1" w:val="04A0"/>
      </w:tblPr>
      <w:tblGrid>
        <w:gridCol w:w="9994"/>
      </w:tblGrid>
      <w:tr>
        <w:trPr>
          <w:cantSplit/>
        </w:trPr>
        <w:tc>
          <w:tcPr>
            <w:tcW w:type="dxa" w:w="9994"/>
            <w:shd w:fill="F7F0F0"/>
            <w:tcMar>
              <w:top w:w="150" w:type="dxa"/>
              <w:start w:w="180" w:type="dxa"/>
              <w:bottom w:w="150" w:type="dxa"/>
              <w:end w:w="180" w:type="dxa"/>
            </w:tcMar>
            <w:vAlign w:val="center"/>
          </w:tcPr>
          <w:p>
            <w:pPr>
              <w:spacing w:after="0"/>
            </w:pPr>
            <w:r>
              <w:rPr>
                <w:b/>
                <w:color w:val="B71524"/>
              </w:rPr>
              <w:t xml:space="preserve">Expert instinct  </w:t>
            </w:r>
            <w:r>
              <w:rPr>
                <w:color w:val="1D1D1B"/>
              </w:rPr>
              <w:t>When the apparent problem is easy to describe, ask what system keeps recreating it. When the process looks irrational, ask what constraint or history made it rational at the time.</w:t>
            </w:r>
          </w:p>
        </w:tc>
      </w:tr>
    </w:tbl>
    <w:p>
      <w:pPr>
        <w:spacing w:after="40"/>
      </w:pPr>
    </w:p>
    <w:p>
      <w:r>
        <w:br w:type="page"/>
      </w:r>
    </w:p>
    <w:p>
      <w:pPr>
        <w:pStyle w:val="Heading1"/>
      </w:pPr>
      <w:r>
        <w:t>4. Challenge before optimising</w:t>
      </w:r>
    </w:p>
    <w:p>
      <w:r>
        <w:t>Once the current system is understood, the next question is not "How can AI make this faster?" It is "What should exist now?" This shift is central to transformation because new capability can make inherited assumptions obsolete.</w:t>
      </w:r>
    </w:p>
    <w:p>
      <w:r>
        <w:t>Improve, Redesign and Reinvent are useful as levels of ambition, not as a forced taxonomy. Improve keeps the basic system and makes it work better. Redesign changes how the outcome is achieved, including roles, decisions, information flows and hand-offs. Reinvent asks whether a different product, service or operating approach becomes possible. Experienced practitioners explore more than one level before committing, because the easiest automation opportunity is often not the highest-value transformation.</w:t>
      </w:r>
    </w:p>
    <w:p>
      <w:r>
        <w:t>The first-principles question is especially powerful in an AI-rich environment: if we were designing this work today, knowing that machines can search, synthesise, generate, reason over large bodies of information and increasingly act through tools, would we design the same workflow? Sometimes the answer is yes. A good existing process may simply benefit from better assistance. But if the answer is no, automating the current sequence can lock in obsolete design.</w:t>
      </w:r>
    </w:p>
    <w:p>
      <w:r>
        <w:t>Whole-system thinking prevents local optimisation. Saving ten minutes in one step is irrelevant if it creates rework downstream, moves risk to another team or increases the burden of review. A transformation opportunity should therefore be examined across decisions, roles, information, data, controls, users, customers and operating arrangements rather than as an isolated task.</w:t>
      </w:r>
    </w:p>
    <w:p>
      <w:r>
        <w:t>This is also where non-technical changes enter the frame. The best design may require clarifying ownership, changing a policy, eliminating a redundant approval, improving data capture or giving a role better decision rights. AI may still be part of the target system, but the professional should not force it to carry a problem that is fundamentally organisational.</w:t>
      </w:r>
    </w:p>
    <w:tbl>
      <w:tblPr>
        <w:tblW w:type="auto" w:w="0"/>
        <w:jc w:val="center"/>
        <w:tblLayout w:type="autofit"/>
        <w:tblLook w:firstColumn="1" w:firstRow="1" w:lastColumn="0" w:lastRow="0" w:noHBand="0" w:noVBand="1" w:val="04A0"/>
      </w:tblPr>
      <w:tblGrid>
        <w:gridCol w:w="9994"/>
      </w:tblGrid>
      <w:tr>
        <w:trPr>
          <w:cantSplit/>
        </w:trPr>
        <w:tc>
          <w:tcPr>
            <w:tcW w:type="dxa" w:w="9994"/>
            <w:shd w:fill="F7F0F0"/>
            <w:tcMar>
              <w:top w:w="150" w:type="dxa"/>
              <w:start w:w="180" w:type="dxa"/>
              <w:bottom w:w="150" w:type="dxa"/>
              <w:end w:w="180" w:type="dxa"/>
            </w:tcMar>
            <w:vAlign w:val="center"/>
          </w:tcPr>
          <w:p>
            <w:pPr>
              <w:spacing w:after="0"/>
            </w:pPr>
            <w:r>
              <w:rPr>
                <w:b/>
                <w:color w:val="B71524"/>
              </w:rPr>
              <w:t xml:space="preserve">Decision rule  </w:t>
            </w:r>
            <w:r>
              <w:rPr>
                <w:color w:val="1D1D1B"/>
              </w:rPr>
              <w:t>If AI only makes the inherited process faster, ask whether the process itself should survive.</w:t>
            </w:r>
          </w:p>
        </w:tc>
      </w:tr>
    </w:tbl>
    <w:p>
      <w:pPr>
        <w:spacing w:after="40"/>
      </w:pPr>
    </w:p>
    <w:p>
      <w:pPr>
        <w:pStyle w:val="Heading1"/>
      </w:pPr>
      <w:r>
        <w:t>5. Judge AI by leverage, not by presence</w:t>
      </w:r>
    </w:p>
    <w:p>
      <w:r>
        <w:t>The relevant question is not whether AI can be used. In most knowledge work, it can. The question is whether AI materially changes the economics, quality, speed, reach or operating model of the work enough to justify using it.</w:t>
      </w:r>
    </w:p>
    <w:p>
      <w:r>
        <w:t>AI leverage is strongest when it changes what is possible rather than merely decorating an existing process. It may make previously uneconomic analysis affordable, allow large volumes of unstructured information to be handled consistently, make expertise accessible at a different scale, shorten iteration cycles, enable more personalised service or coordinate multi-step work that previously required manual orchestration. These are materially different claims from "we can put a chatbot on it".</w:t>
      </w:r>
    </w:p>
    <w:p>
      <w:r>
        <w:t>At the same time, some problems are better solved with deterministic automation, process redesign, traditional analytics or simply better management. A non-AI answer can be the stronger transformation decision. The professional should therefore compare AI with realistic alternatives rather than with the status quo alone.</w:t>
      </w:r>
    </w:p>
    <w:p>
      <w:r>
        <w:t>Human-AI boundaries matter early because the value of the system often depends on where judgement remains human-led. Automating preparation may free specialists for higher-value judgement; automating the judgement itself may create unacceptable risk or erode a training ground that the organisation needs to develop future experts. Technical capability does not automatically imply that every automatable activity should be automated.</w:t>
      </w:r>
    </w:p>
    <w:p>
      <w:r>
        <w:t>The same discipline applies to agents and autonomy. More autonomy creates more permission, monitoring, accountability and failure-mode questions. It should be introduced when it adds value to the outcome, not because it makes the project sound more advanced.</w:t>
      </w:r>
    </w:p>
    <w:tbl>
      <w:tblPr>
        <w:tblW w:type="auto" w:w="0"/>
        <w:jc w:val="center"/>
        <w:tblLayout w:type="autofit"/>
        <w:tblLook w:firstColumn="1" w:firstRow="1" w:lastColumn="0" w:lastRow="0" w:noHBand="0" w:noVBand="1" w:val="04A0"/>
      </w:tblPr>
      <w:tblGrid>
        <w:gridCol w:w="9994"/>
      </w:tblGrid>
      <w:tr>
        <w:trPr>
          <w:cantSplit/>
        </w:trPr>
        <w:tc>
          <w:tcPr>
            <w:tcW w:type="dxa" w:w="9994"/>
            <w:shd w:fill="F7F0F0"/>
            <w:tcMar>
              <w:top w:w="150" w:type="dxa"/>
              <w:start w:w="180" w:type="dxa"/>
              <w:bottom w:w="150" w:type="dxa"/>
              <w:end w:w="180" w:type="dxa"/>
            </w:tcMar>
            <w:vAlign w:val="center"/>
          </w:tcPr>
          <w:p>
            <w:pPr>
              <w:spacing w:after="0"/>
            </w:pPr>
            <w:r>
              <w:rPr>
                <w:b/>
                <w:color w:val="B71524"/>
              </w:rPr>
              <w:t xml:space="preserve">Professional rule  </w:t>
            </w:r>
            <w:r>
              <w:rPr>
                <w:color w:val="1D1D1B"/>
              </w:rPr>
              <w:t>Use the least complex form of technology that achieves the desired outcome. Complexity should earn its place through value.</w:t>
            </w:r>
          </w:p>
        </w:tc>
      </w:tr>
    </w:tbl>
    <w:p>
      <w:pPr>
        <w:spacing w:after="40"/>
      </w:pPr>
    </w:p>
    <w:p>
      <w:pPr>
        <w:pStyle w:val="Heading1"/>
      </w:pPr>
      <w:r>
        <w:t>6. Separate potential value from credible value</w:t>
      </w:r>
    </w:p>
    <w:p>
      <w:r>
        <w:t>Many weak proposals confuse possible upside with credible value. A large addressable benefit is useful for establishing ambition, but it becomes decision-relevant only when the professional can connect it to the current system, the target change and a plausible mechanism of capture.</w:t>
      </w:r>
    </w:p>
    <w:p>
      <w:r>
        <w:t>A credible value case normally starts with a baseline. How much work, delay, cost, error, risk or missed opportunity exists today? What portion of it is realistically addressable? What would need to change for the benefit to be realised? What new costs, controls or human effort would the target system introduce? What happens to the capacity that is released? These questions make the difference between a productivity claim and an organisational value case.</w:t>
      </w:r>
    </w:p>
    <w:p>
      <w:r>
        <w:t>The quality of the evidence should match the stage of the decision. Early work rarely requires a finance-grade business case. It may be enough to establish an order of magnitude, a repeated operational pattern and a plausible value mechanism. As commitment increases, the evidence standard should increase too. The professional does not demand certainty before learning, but does not let early estimates harden into facts simply because they have appeared in a slide deck.</w:t>
      </w:r>
    </w:p>
    <w:p>
      <w:r>
        <w:t>Internal advantage is also worth considering. An organisation may have proprietary data, trusted relationships, distribution channels, specialist expertise, existing infrastructure or a regulatory position that makes a transformation more viable from inside than it would be for an external entrant. These assets can materially alter the attractiveness of an opportunity, but only if the team can actually access and use them.</w:t>
      </w:r>
    </w:p>
    <w:tbl>
      <w:tblPr>
        <w:tblW w:type="auto" w:w="0"/>
        <w:jc w:val="center"/>
        <w:tblLayout w:type="autofit"/>
        <w:tblLook w:firstColumn="1" w:firstRow="1" w:lastColumn="0" w:lastRow="0" w:noHBand="0" w:noVBand="1" w:val="04A0"/>
      </w:tblPr>
      <w:tblGrid>
        <w:gridCol w:w="9994"/>
      </w:tblGrid>
      <w:tr>
        <w:trPr>
          <w:cantSplit/>
        </w:trPr>
        <w:tc>
          <w:tcPr>
            <w:tcW w:type="dxa" w:w="9994"/>
            <w:shd w:fill="F7F0F0"/>
            <w:tcMar>
              <w:top w:w="150" w:type="dxa"/>
              <w:start w:w="180" w:type="dxa"/>
              <w:bottom w:w="150" w:type="dxa"/>
              <w:end w:w="180" w:type="dxa"/>
            </w:tcMar>
            <w:vAlign w:val="center"/>
          </w:tcPr>
          <w:p>
            <w:pPr>
              <w:spacing w:after="0"/>
            </w:pPr>
            <w:r>
              <w:rPr>
                <w:b/>
                <w:color w:val="B71524"/>
              </w:rPr>
              <w:t xml:space="preserve">Evidence rule  </w:t>
            </w:r>
            <w:r>
              <w:rPr>
                <w:color w:val="1D1D1B"/>
              </w:rPr>
              <w:t>Treat every unsupported value claim as a hypothesis. The next step is to gather the minimum evidence that would make the claim more or less believable.</w:t>
            </w:r>
          </w:p>
        </w:tc>
      </w:tr>
    </w:tbl>
    <w:p>
      <w:pPr>
        <w:spacing w:after="40"/>
      </w:pPr>
    </w:p>
    <w:p>
      <w:r>
        <w:br w:type="page"/>
      </w:r>
    </w:p>
    <w:p>
      <w:pPr>
        <w:pStyle w:val="Heading1"/>
      </w:pPr>
      <w:r>
        <w:t>7. Organisational viability is not a secondary concern</w:t>
      </w:r>
    </w:p>
    <w:p>
      <w:r>
        <w:t>Technically feasible is not the same as organisationally viable. A transformation can work perfectly in a controlled environment and still fail because nobody owns it, users do not trust it, data cannot be accessed, risk functions cannot approve it, incentives point in the wrong direction or the operating model has nowhere to place it.</w:t>
      </w:r>
    </w:p>
    <w:p>
      <w:r>
        <w:t>Experienced practitioners therefore seed implementation questions early without turning early-stage analysis into a full governance exercise. Who owns the problem? Who benefits? Who pays? Who provides the data? Who carries the operational risk? Who would need to change behaviour? Who can approve, block or quietly slow the work? These questions do not always eliminate an opportunity, but they change the path by which it should be advanced.</w:t>
      </w:r>
    </w:p>
    <w:p>
      <w:r>
        <w:t>Influence is particularly nuanced. A participant or project lead does not need formal authority over the entire transformation, but they do need a credible route to evidence, people and decisions. A large opportunity outside the person's current sphere can still be worth pursuing if the near-term work can expand that sphere through sponsorship, access, a useful demonstration or a decision. Conversely, shrinking the project simply because the current authority is limited can destroy the very value that made the opportunity important.</w:t>
      </w:r>
    </w:p>
    <w:p>
      <w:r>
        <w:t>This is why the professional distinguishes the quality of the opportunity from the current ease of implementation. "Hard to move" does not mean "bad idea". It means the path to movement must become part of the judgement. Sometimes the right first advance is a technical experiment; sometimes it is a stakeholder conversation, quantified evidence, access to data, a sponsor introduction or agreement on ownership.</w:t>
      </w:r>
    </w:p>
    <w:p>
      <w:r>
        <w:t>The project itself can also change the professional's position in the organisation. By socialising the opportunity early, inviting challenge and giving relevant people a legitimate way to contribute, the practitioner can create a small coalition around the work. Visibility should be about the seriousness of the inquiry rather than certainty of the answer. Credibility increases when the professional is open about what is known, what is not yet known and what evidence is being sought.</w:t>
      </w:r>
    </w:p>
    <w:tbl>
      <w:tblPr>
        <w:tblW w:type="auto" w:w="0"/>
        <w:jc w:val="center"/>
        <w:tblLayout w:type="autofit"/>
        <w:tblLook w:firstColumn="1" w:firstRow="1" w:lastColumn="0" w:lastRow="0" w:noHBand="0" w:noVBand="1" w:val="04A0"/>
      </w:tblPr>
      <w:tblGrid>
        <w:gridCol w:w="9994"/>
      </w:tblGrid>
      <w:tr>
        <w:trPr>
          <w:cantSplit/>
        </w:trPr>
        <w:tc>
          <w:tcPr>
            <w:tcW w:type="dxa" w:w="9994"/>
            <w:shd w:fill="F7F0F0"/>
            <w:tcMar>
              <w:top w:w="150" w:type="dxa"/>
              <w:start w:w="180" w:type="dxa"/>
              <w:bottom w:w="150" w:type="dxa"/>
              <w:end w:w="180" w:type="dxa"/>
            </w:tcMar>
            <w:vAlign w:val="center"/>
          </w:tcPr>
          <w:p>
            <w:pPr>
              <w:spacing w:after="0"/>
            </w:pPr>
            <w:r>
              <w:rPr>
                <w:b/>
                <w:color w:val="B71524"/>
              </w:rPr>
              <w:t xml:space="preserve">Influence rule  </w:t>
            </w:r>
            <w:r>
              <w:rPr>
                <w:color w:val="1D1D1B"/>
              </w:rPr>
              <w:t>Do not confuse lack of current authority with lack of possibility. Ask what commitment, access or relationship would expand the ability to move the work.</w:t>
            </w:r>
          </w:p>
        </w:tc>
      </w:tr>
    </w:tbl>
    <w:p>
      <w:pPr>
        <w:spacing w:after="40"/>
      </w:pPr>
    </w:p>
    <w:p>
      <w:pPr>
        <w:pStyle w:val="Heading1"/>
      </w:pPr>
      <w:r>
        <w:t>8. Make uncertainty explicit and decide what to learn next</w:t>
      </w:r>
    </w:p>
    <w:p>
      <w:r>
        <w:t>Good transformation judgement is inseparable from uncertainty management. Early project discussions often mix facts, interpretations and hopes into one narrative. Experienced practitioners pull them apart because each category implies a different next action.</w:t>
      </w:r>
    </w:p>
    <w:p>
      <w:r>
        <w:t>Some things are reasonably known because they are supported by direct evidence. Others are assumptions that may be plausible but have not been tested. Some are important unknowns that could materially change the project. The professional makes these distinctions visible, not to make the work more bureaucratic, but to prevent confidence from outrunning evidence.</w:t>
      </w:r>
    </w:p>
    <w:p>
      <w:r>
        <w:t>The next learning step should be chosen by materiality, not convenience. Teams naturally test what is easy to test: whether a model can extract a field, whether an interface can be built, whether a prompt works. But the most important uncertainty may be whether users experience the problem, whether released capacity has real value, whether a data source is legally accessible, whether a sponsor will own the change or whether the target workflow creates an unacceptable control issue.</w:t>
      </w:r>
    </w:p>
    <w:p>
      <w:r>
        <w:t>This is why an experiment should be understood as a way of resolving a consequential hypothesis rather than as a requirement to build an artefact. Interviews, observation, baseline measurement, document analysis, controlled tests, simulations and prototypes can all be valid experiments if they produce evidence that changes the decision.</w:t>
      </w:r>
    </w:p>
    <w:p>
      <w:r>
        <w:t>Strong practitioners also seek disconfirming evidence. They ask who is best placed to tell them that the framing is wrong, what observation would cause them to abandon the idea and whether there is a simpler explanation for the problem. The objective is not to prove the project right. It is to become less wrong about reality.</w:t>
      </w:r>
    </w:p>
    <w:tbl>
      <w:tblPr>
        <w:tblW w:type="auto" w:w="0"/>
        <w:jc w:val="center"/>
        <w:tblLayout w:type="autofit"/>
        <w:tblLook w:firstColumn="1" w:firstRow="1" w:lastColumn="0" w:lastRow="0" w:noHBand="0" w:noVBand="1" w:val="04A0"/>
      </w:tblPr>
      <w:tblGrid>
        <w:gridCol w:w="9994"/>
      </w:tblGrid>
      <w:tr>
        <w:trPr>
          <w:cantSplit/>
        </w:trPr>
        <w:tc>
          <w:tcPr>
            <w:tcW w:type="dxa" w:w="9994"/>
            <w:shd w:fill="F7F0F0"/>
            <w:tcMar>
              <w:top w:w="150" w:type="dxa"/>
              <w:start w:w="180" w:type="dxa"/>
              <w:bottom w:w="150" w:type="dxa"/>
              <w:end w:w="180" w:type="dxa"/>
            </w:tcMar>
            <w:vAlign w:val="center"/>
          </w:tcPr>
          <w:p>
            <w:pPr>
              <w:spacing w:after="0"/>
            </w:pPr>
            <w:r>
              <w:rPr>
                <w:b/>
                <w:color w:val="B71524"/>
              </w:rPr>
              <w:t xml:space="preserve">Learning rule  </w:t>
            </w:r>
            <w:r>
              <w:rPr>
                <w:color w:val="1D1D1B"/>
              </w:rPr>
              <w:t>The best next test is the one that reduces the most decision-relevant uncertainty, not the one that produces the most impressive artefact.</w:t>
            </w:r>
          </w:p>
        </w:tc>
      </w:tr>
    </w:tbl>
    <w:p>
      <w:pPr>
        <w:spacing w:after="40"/>
      </w:pPr>
    </w:p>
    <w:p>
      <w:pPr>
        <w:pStyle w:val="Heading1"/>
      </w:pPr>
      <w:r>
        <w:t>9. Separate the transformation from the next advance</w:t>
      </w:r>
    </w:p>
    <w:p>
      <w:r>
        <w:t>A common planning error is to define the project by what can be finished in the available time. This artificially shrinks ambition. The larger transformation should first be described on its own terms: what sustained organisational change would create meaningful value if pursued properly? Only then should the professional decide what progress is most valuable now.</w:t>
      </w:r>
    </w:p>
    <w:p>
      <w:r>
        <w:t>The near-term advance is a change in the state of the project, not necessarily a technical milestone. It may mean that the problem has been validated, the value has been quantified, the current system is properly understood, a redesigned way of working has been tested, a critical risk has been exposed, a sponsor has agreed to support the next phase, data access has been secured, an implementation decision has been made or a previously uncertain capability has been demonstrated.</w:t>
      </w:r>
    </w:p>
    <w:p>
      <w:r>
        <w:t>Evidence of progress is different again. A prototype, interview record, baseline analysis, redesigned process, stakeholder commitment or decision memo can all be evidence that an advance occurred. The artefact is not the advance itself. This distinction prevents the team from mistaking "we built something" for "the transformation is more likely to succeed".</w:t>
      </w:r>
    </w:p>
    <w:p>
      <w:r>
        <w:t>For a four-week window, the most useful question is therefore: what would most materially advance the larger project in four weeks? The follow-up question is: what would we need to show, learn, validate, unlock or get decided to achieve that advance? Those questions keep technology in its proper place as one possible means of creating progress.</w:t>
      </w:r>
    </w:p>
    <w:tbl>
      <w:tblPr>
        <w:tblW w:type="auto" w:w="0"/>
        <w:jc w:val="center"/>
        <w:tblLayout w:type="autofit"/>
        <w:tblLook w:firstColumn="1" w:firstRow="1" w:lastColumn="0" w:lastRow="0" w:noHBand="0" w:noVBand="1" w:val="04A0"/>
      </w:tblPr>
      <w:tblGrid>
        <w:gridCol w:w="9994"/>
      </w:tblGrid>
      <w:tr>
        <w:trPr>
          <w:cantSplit/>
        </w:trPr>
        <w:tc>
          <w:tcPr>
            <w:tcW w:type="dxa" w:w="9994"/>
            <w:shd w:fill="F7F0F0"/>
            <w:tcMar>
              <w:top w:w="150" w:type="dxa"/>
              <w:start w:w="180" w:type="dxa"/>
              <w:bottom w:w="150" w:type="dxa"/>
              <w:end w:w="180" w:type="dxa"/>
            </w:tcMar>
            <w:vAlign w:val="center"/>
          </w:tcPr>
          <w:p>
            <w:pPr>
              <w:spacing w:after="0"/>
            </w:pPr>
            <w:r>
              <w:rPr>
                <w:b/>
                <w:color w:val="B71524"/>
              </w:rPr>
              <w:t xml:space="preserve">Three layers  </w:t>
            </w:r>
            <w:r>
              <w:rPr>
                <w:color w:val="1D1D1B"/>
              </w:rPr>
              <w:t>Big transformation: the meaningful organisational change worth pursuing. Near-term advance: the most valuable progress that increases its likelihood of success. Evidence: what proves that progress actually happened.</w:t>
            </w:r>
          </w:p>
        </w:tc>
      </w:tr>
    </w:tbl>
    <w:p>
      <w:pPr>
        <w:spacing w:after="40"/>
      </w:pPr>
    </w:p>
    <w:p>
      <w:r>
        <w:br w:type="page"/>
      </w:r>
    </w:p>
    <w:p>
      <w:pPr>
        <w:pStyle w:val="Heading1"/>
      </w:pPr>
      <w:r>
        <w:t>10. Professional judgement lives in trade-offs</w:t>
      </w:r>
    </w:p>
    <w:p>
      <w:pPr>
        <w:pStyle w:val="Lead"/>
      </w:pPr>
      <w:r>
        <w:t>Many project-selection frameworks fail because they imply that the right opportunity is the one with the highest score. In practice, strong judgement often means navigating tensions where both sides are legitimate. The professional needs to understand the trade-off, decide which side matters more in context and remain alert to what would change that balance.</w:t>
      </w:r>
    </w:p>
    <w:p>
      <w:pPr>
        <w:pStyle w:val="Heading2"/>
      </w:pPr>
      <w:r>
        <w:t>Importance and influence</w:t>
      </w:r>
    </w:p>
    <w:p>
      <w:r>
        <w:t>A strategically important opportunity may sit outside the current sphere of influence. The answer is not automatically to abandon it or to shrink it. Ask whether a near-term piece of work can create evidence, sponsorship or access that expands the sphere. If no credible route exists, the opportunity may be too remote for the current effort.</w:t>
      </w:r>
    </w:p>
    <w:p>
      <w:pPr>
        <w:pStyle w:val="Heading2"/>
      </w:pPr>
      <w:r>
        <w:t>Ambition and tractability</w:t>
      </w:r>
    </w:p>
    <w:p>
      <w:r>
        <w:t>A large transformation can be the right project while the immediate advance remains deliberately narrow. Tractability should shape the next move, not necessarily the ultimate ambition. The danger is either building a tiny project with no strategic consequence or designing a grand transformation with no credible learning step.</w:t>
      </w:r>
    </w:p>
    <w:p>
      <w:pPr>
        <w:pStyle w:val="Heading2"/>
      </w:pPr>
      <w:r>
        <w:t>Demonstrability and depth</w:t>
      </w:r>
    </w:p>
    <w:p>
      <w:r>
        <w:t>Visible outcomes create credibility, but highly demonstrable technology can distract from deeper organisational change. Prefer evidence that illuminates the real value or uncertainty. A quantified baseline or changed decision can be more powerful than a polished interface.</w:t>
      </w:r>
    </w:p>
    <w:p>
      <w:pPr>
        <w:pStyle w:val="Heading2"/>
      </w:pPr>
      <w:r>
        <w:t>Speed and confidence</w:t>
      </w:r>
    </w:p>
    <w:p>
      <w:r>
        <w:t>AI can compress experimentation cycles, which is valuable. But speed only helps if the team is testing the right thing. Fast technical iteration on a weak problem framing creates false momentum.</w:t>
      </w:r>
    </w:p>
    <w:p>
      <w:pPr>
        <w:pStyle w:val="Heading2"/>
      </w:pPr>
      <w:r>
        <w:t>Local improvement and system redesign</w:t>
      </w:r>
    </w:p>
    <w:p>
      <w:r>
        <w:t>A local task may be the practical entry point, yet improving it can move the bottleneck elsewhere. Consider what the local change does to the end-to-end system before claiming value.</w:t>
      </w:r>
    </w:p>
    <w:p>
      <w:pPr>
        <w:pStyle w:val="Heading2"/>
      </w:pPr>
      <w:r>
        <w:t>Immediate benefit and long-term capability</w:t>
      </w:r>
    </w:p>
    <w:p>
      <w:r>
        <w:t>Automating today's work may create short-term capacity while removing learning opportunities, judgement development or resilience that the organisation needs later. Not every automatable activity should be automated.</w:t>
      </w:r>
    </w:p>
    <w:p>
      <w:pPr>
        <w:pStyle w:val="Heading2"/>
      </w:pPr>
      <w:r>
        <w:t>Technical possibility and organisational viability</w:t>
      </w:r>
    </w:p>
    <w:p>
      <w:r>
        <w:t>A technically superior design may be inferior in practice if it cannot operate within the organisation's data, risk, ownership or support environment. Conversely, organisational friction should be examined rather than treated as an automatic veto.</w:t>
      </w:r>
    </w:p>
    <w:p>
      <w:pPr>
        <w:pStyle w:val="Heading1"/>
      </w:pPr>
      <w:r>
        <w:t>11. Recognising weak reasoning</w:t>
      </w:r>
    </w:p>
    <w:p>
      <w:pPr>
        <w:pStyle w:val="Lead"/>
      </w:pPr>
      <w:r>
        <w:t>Weak reasoning often sounds plausible because each statement contains some truth. Expertise lies in seeing what the statement leaves out.</w:t>
      </w:r>
    </w:p>
    <w:p>
      <w:pPr>
        <w:pStyle w:val="Heading2"/>
      </w:pPr>
      <w:r>
        <w:t>"We should use AI for this."</w:t>
      </w:r>
    </w:p>
    <w:p>
      <w:r>
        <w:t>This is a technology intention, not an opportunity. The expert response is to remove AI from the sentence and ask what outcome should improve. If the opportunity disappears when the technology is removed, the team may be pursuing novelty rather than value.</w:t>
      </w:r>
    </w:p>
    <w:p>
      <w:pPr>
        <w:pStyle w:val="Heading2"/>
      </w:pPr>
      <w:r>
        <w:t>"Another leading organisation already does it."</w:t>
      </w:r>
    </w:p>
    <w:p>
      <w:r>
        <w:t>This is evidence that something may be possible, not that it fits the local context. The expert asks what is actually comparable: process, data, incentives, regulation, scale, operating model and strategic objective. External examples should expand imagination, not replace diagnosis.</w:t>
      </w:r>
    </w:p>
    <w:p>
      <w:pPr>
        <w:pStyle w:val="Heading2"/>
      </w:pPr>
      <w:r>
        <w:t>"It will save a lot of time."</w:t>
      </w:r>
    </w:p>
    <w:p>
      <w:r>
        <w:t>This is a value hypothesis. The expert asks for the baseline, who saves the time, what happens to the released capacity and whether time is the real constraint. Nine thousand hours of specialist preparation can be highly valuable if it prevents expert work; the same number of low-value hours may not justify a complex transformation.</w:t>
      </w:r>
    </w:p>
    <w:p>
      <w:pPr>
        <w:pStyle w:val="Heading2"/>
      </w:pPr>
      <w:r>
        <w:t>"We can build a prototype in two weeks."</w:t>
      </w:r>
    </w:p>
    <w:p>
      <w:r>
        <w:t>This says something about technical tractability, not organisational importance. The expert asks what uncertainty the prototype resolves and what decision it enables. If the answer is unclear, the build may be activity masquerading as progress.</w:t>
      </w:r>
    </w:p>
    <w:p>
      <w:pPr>
        <w:pStyle w:val="Heading2"/>
      </w:pPr>
      <w:r>
        <w:t>"People will obviously use it."</w:t>
      </w:r>
    </w:p>
    <w:p>
      <w:r>
        <w:t>Adoption is never automatic. The expert looks at workflow fit, incentives, trust, perceived consequences, role changes and who carries the cost of changing behaviour. A system that creates value for leadership while adding work for users has an adoption problem even if the business case is attractive.</w:t>
      </w:r>
    </w:p>
    <w:p>
      <w:pPr>
        <w:pStyle w:val="Heading2"/>
      </w:pPr>
      <w:r>
        <w:t>"This is too hard because I do not control the whole system."</w:t>
      </w:r>
    </w:p>
    <w:p>
      <w:r>
        <w:t>The expert separates authority from influence. They ask what part of the system can be understood, evidenced or moved now, who could sponsor the next step and whether the project can create its own legitimacy. If no route to movement exists, that is relevant evidence; it is not the same as assuming that only small projects are valid.</w:t>
      </w:r>
    </w:p>
    <w:p>
      <w:pPr>
        <w:pStyle w:val="Heading2"/>
      </w:pPr>
      <w:r>
        <w:t>"The technology works, so we are ready."</w:t>
      </w:r>
    </w:p>
    <w:p>
      <w:r>
        <w:t>A functioning demo answers only one class of question. Enterprise reality introduces data rights, security, integration, monitoring, support, ownership, governance, cost and operational accountability. The expert treats prototype success as evidence of possibility, not as proof of transformation readiness.</w:t>
      </w:r>
    </w:p>
    <w:p>
      <w:r>
        <w:br w:type="page"/>
      </w:r>
    </w:p>
    <w:p>
      <w:pPr>
        <w:pStyle w:val="Heading1"/>
      </w:pPr>
      <w:r>
        <w:t>12. What good looks like: the tax information example</w:t>
      </w:r>
    </w:p>
    <w:p>
      <w:pPr>
        <w:pStyle w:val="Lead"/>
      </w:pPr>
      <w:r>
        <w:t>A useful worked example shows not only a stronger sentence, but how the professional framing changes as the judgement improves.</w:t>
      </w:r>
    </w:p>
    <w:p>
      <w:pPr>
        <w:pStyle w:val="Heading2"/>
      </w:pPr>
      <w:r>
        <w:t>Weak framing</w:t>
      </w:r>
    </w:p>
    <w:tbl>
      <w:tblPr>
        <w:tblW w:type="auto" w:w="0"/>
        <w:jc w:val="center"/>
        <w:tblLayout w:type="autofit"/>
        <w:tblLook w:firstColumn="1" w:firstRow="1" w:lastColumn="0" w:lastRow="0" w:noHBand="0" w:noVBand="1" w:val="04A0"/>
      </w:tblPr>
      <w:tblGrid>
        <w:gridCol w:w="9994"/>
      </w:tblGrid>
      <w:tr>
        <w:trPr>
          <w:cantSplit/>
        </w:trPr>
        <w:tc>
          <w:tcPr>
            <w:tcW w:type="dxa" w:w="9994"/>
            <w:shd w:fill="F3F3F3"/>
            <w:tcMar>
              <w:top w:w="150" w:type="dxa"/>
              <w:start w:w="180" w:type="dxa"/>
              <w:bottom w:w="150" w:type="dxa"/>
              <w:end w:w="180" w:type="dxa"/>
            </w:tcMar>
            <w:vAlign w:val="center"/>
          </w:tcPr>
          <w:p>
            <w:pPr>
              <w:spacing w:after="0"/>
            </w:pPr>
            <w:r>
              <w:rPr>
                <w:color w:val="1D1D1B"/>
              </w:rPr>
              <w:t>Use AI to automate tax document processing.</w:t>
            </w:r>
          </w:p>
        </w:tc>
      </w:tr>
    </w:tbl>
    <w:p>
      <w:pPr>
        <w:spacing w:after="40"/>
      </w:pPr>
    </w:p>
    <w:p>
      <w:r>
        <w:t>The framing begins with the technology and a solution. It does not establish the organisational objective, the scale of the current problem, who benefits, whether the process itself should change or what value would be created beyond faster processing.</w:t>
      </w:r>
    </w:p>
    <w:p>
      <w:pPr>
        <w:pStyle w:val="Heading2"/>
      </w:pPr>
      <w:r>
        <w:t>Better framing</w:t>
      </w:r>
    </w:p>
    <w:tbl>
      <w:tblPr>
        <w:tblW w:type="auto" w:w="0"/>
        <w:jc w:val="center"/>
        <w:tblLayout w:type="autofit"/>
        <w:tblLook w:firstColumn="1" w:firstRow="1" w:lastColumn="0" w:lastRow="0" w:noHBand="0" w:noVBand="1" w:val="04A0"/>
      </w:tblPr>
      <w:tblGrid>
        <w:gridCol w:w="9994"/>
      </w:tblGrid>
      <w:tr>
        <w:trPr>
          <w:cantSplit/>
        </w:trPr>
        <w:tc>
          <w:tcPr>
            <w:tcW w:type="dxa" w:w="9994"/>
            <w:shd w:fill="F3F3F3"/>
            <w:tcMar>
              <w:top w:w="150" w:type="dxa"/>
              <w:start w:w="180" w:type="dxa"/>
              <w:bottom w:w="150" w:type="dxa"/>
              <w:end w:w="180" w:type="dxa"/>
            </w:tcMar>
            <w:vAlign w:val="center"/>
          </w:tcPr>
          <w:p>
            <w:pPr>
              <w:spacing w:after="0"/>
            </w:pPr>
            <w:r>
              <w:rPr>
                <w:color w:val="1D1D1B"/>
              </w:rPr>
              <w:t>Tax specialists spend substantial time extracting and consolidating information from multiple forms before they can perform higher-value tax analysis. There may be an opportunity to reduce the preparation burden and release specialist capacity.</w:t>
            </w:r>
          </w:p>
        </w:tc>
      </w:tr>
    </w:tbl>
    <w:p>
      <w:pPr>
        <w:spacing w:after="40"/>
      </w:pPr>
    </w:p>
    <w:p>
      <w:r>
        <w:t>This is better because it identifies a current reality, a beneficiary and a value mechanism. It is still incomplete. It has not yet established the scale, the causes of the burden, the future system or the organisational conditions that would make the change valuable and workable.</w:t>
      </w:r>
    </w:p>
    <w:p>
      <w:pPr>
        <w:pStyle w:val="Heading2"/>
      </w:pPr>
      <w:r>
        <w:t>Strong professional framing</w:t>
      </w:r>
    </w:p>
    <w:tbl>
      <w:tblPr>
        <w:tblW w:type="auto" w:w="0"/>
        <w:jc w:val="center"/>
        <w:tblLayout w:type="autofit"/>
        <w:tblLook w:firstColumn="1" w:firstRow="1" w:lastColumn="0" w:lastRow="0" w:noHBand="0" w:noVBand="1" w:val="04A0"/>
      </w:tblPr>
      <w:tblGrid>
        <w:gridCol w:w="9994"/>
      </w:tblGrid>
      <w:tr>
        <w:trPr>
          <w:cantSplit/>
        </w:trPr>
        <w:tc>
          <w:tcPr>
            <w:tcW w:type="dxa" w:w="9994"/>
            <w:shd w:fill="F7F0F0"/>
            <w:tcMar>
              <w:top w:w="150" w:type="dxa"/>
              <w:start w:w="180" w:type="dxa"/>
              <w:bottom w:w="150" w:type="dxa"/>
              <w:end w:w="180" w:type="dxa"/>
            </w:tcMar>
            <w:vAlign w:val="center"/>
          </w:tcPr>
          <w:p>
            <w:pPr>
              <w:spacing w:after="0"/>
            </w:pPr>
            <w:r>
              <w:rPr>
                <w:color w:val="1D1D1B"/>
              </w:rPr>
              <w:t>The current tax information process consumes thousands of hours of specialist capacity extracting, reconciling and consolidating source forms before expert judgement begins. The opportunity is to redesign how information moves from source documents to tax analysis so that repetitive preparation is reduced, controls are preserved and scarce specialist capacity is shifted towards higher-value tax optimisation. AI and automation may enable parts of the new information flow, but the transformation is the redesign of the work, not the deployment of a tool.</w:t>
            </w:r>
          </w:p>
        </w:tc>
      </w:tr>
    </w:tbl>
    <w:p>
      <w:pPr>
        <w:spacing w:after="40"/>
      </w:pPr>
    </w:p>
    <w:p>
      <w:r>
        <w:t>The strong framing makes the larger organisational change visible. It starts from the current system and the value of expert capacity. It leaves room for process redesign, conventional automation and AI rather than pre-selecting a tool. It also keeps controls inside the problem rather than treating them as a later obstacle.</w:t>
      </w:r>
    </w:p>
    <w:p>
      <w:pPr>
        <w:pStyle w:val="Heading2"/>
      </w:pPr>
      <w:r>
        <w:t>How an experienced practitioner would deepen it</w:t>
      </w:r>
    </w:p>
    <w:p>
      <w:r>
        <w:t>The practitioner would next test the scale and shape of the problem. Are the reported hours measured or estimated? Which document types and process steps create most of the work? How much of the effort is simple extraction, how much is reconciliation, and how much already requires judgement? What causes rework and exceptions? What happens during peak periods? Which controls are mandatory and which are historical workarounds? What would the tax team actually do with released capacity?</w:t>
      </w:r>
    </w:p>
    <w:p>
      <w:r>
        <w:t>The practitioner would also test the transformation logic. Could a redesigned information architecture remove some of the manual consolidation before AI is considered? Where might AI handle variation or unstructured documents better than rules-based automation? Where must expert review remain? What data, permissions and auditability would be required? Who owns the upstream documents and the downstream tax process?</w:t>
      </w:r>
    </w:p>
    <w:p>
      <w:pPr>
        <w:pStyle w:val="Heading2"/>
      </w:pPr>
      <w:r>
        <w:t>The larger transformation</w:t>
      </w:r>
    </w:p>
    <w:p>
      <w:r>
        <w:t>The larger project is not "build a tax extraction tool". It is to redesign the tax information-processing system so that specialist effort is concentrated on judgement-intensive work while preparation is handled in a more efficient, reliable and controlled way. That transformation may take months and may involve process, data, technology, controls, roles and adoption.</w:t>
      </w:r>
    </w:p>
    <w:p>
      <w:pPr>
        <w:pStyle w:val="Heading2"/>
      </w:pPr>
      <w:r>
        <w:t>A strong four-week advance</w:t>
      </w:r>
    </w:p>
    <w:p>
      <w:r>
        <w:t>The four-week objective should be a meaningful change in the state of the project. A strong advance could be to establish a credible case for redesigning the process and create enough evidence for tax leadership to decide whether to proceed to a controlled implementation phase. That is organisational progress, not a technology milestone.</w:t>
      </w:r>
    </w:p>
    <w:p>
      <w:r>
        <w:t>Evidence for that advance might include a validated baseline of where specialist time is being spent, a clearer map of which steps genuinely require tax expertise, an initial target workflow, a representative test of the most uncertain part of the new approach, a view of the key control and data conditions, and feedback from the people who would use or own the redesigned process. The most valuable outcome is not that a prototype exists. It is that the organisation knows materially more about whether the transformation is worth pursuing and what should happen next.</w:t>
      </w:r>
    </w:p>
    <w:p>
      <w:pPr>
        <w:pStyle w:val="Heading1"/>
      </w:pPr>
      <w:r>
        <w:t>13. How an AI thinking partner should use this expertise</w:t>
      </w:r>
    </w:p>
    <w:p>
      <w:r>
        <w:t>An AI system using this handbook should behave like a rigorous thinking partner, not a project recommender. Its role is to improve the quality of the professional's reasoning by making the judgement explicit, exposing missing context, challenging unsupported assumptions and helping the person decide what evidence would most improve the decision.</w:t>
      </w:r>
    </w:p>
    <w:p>
      <w:r>
        <w:t>The AI should resist the temptation to reward polished language. A vague project expressed elegantly is still vague. When the outcome, current reality, value mechanism or beneficiary is unclear, the AI should ask for clarification before discussing solution design. When the user states an organisational fact that has not been evidenced, the AI should treat it as an assumption rather than silently converting it into certainty.</w:t>
      </w:r>
    </w:p>
    <w:p>
      <w:r>
        <w:t>The AI should also avoid mechanical scoring unless the user explicitly needs a comparison aid and understands its limitations. Professional trade-offs cannot be reduced reliably to a single number. A better approach is to compare opportunities qualitatively, explain the tension and identify what additional evidence would change the judgement.</w:t>
      </w:r>
    </w:p>
    <w:p>
      <w:r>
        <w:t>Context dependency is a hard boundary. Strategic importance, stakeholder incentives, available data, risk appetite, organisational politics, regulatory constraints and feasibility cannot be inferred from general transformation knowledge. When these facts matter, the AI should ask. It should never fill organisational gaps with plausible fiction.</w:t>
      </w:r>
    </w:p>
    <w:p>
      <w:r>
        <w:t>Finally, the AI should preserve human ownership. It can say which reasoning appears stronger and why, identify inconsistencies and propose what to investigate next. It should not pretend that the reference guide allows it to know which project the professional should choose without the professional's domain and organisational judgement.</w:t>
      </w:r>
    </w:p>
    <w:tbl>
      <w:tblPr>
        <w:tblW w:type="auto" w:w="0"/>
        <w:jc w:val="center"/>
        <w:tblLayout w:type="autofit"/>
        <w:tblLook w:firstColumn="1" w:firstRow="1" w:lastColumn="0" w:lastRow="0" w:noHBand="0" w:noVBand="1" w:val="04A0"/>
      </w:tblPr>
      <w:tblGrid>
        <w:gridCol w:w="9994"/>
      </w:tblGrid>
      <w:tr>
        <w:trPr>
          <w:cantSplit/>
        </w:trPr>
        <w:tc>
          <w:tcPr>
            <w:tcW w:type="dxa" w:w="9994"/>
            <w:shd w:fill="F7F0F0"/>
            <w:tcMar>
              <w:top w:w="150" w:type="dxa"/>
              <w:start w:w="180" w:type="dxa"/>
              <w:bottom w:w="150" w:type="dxa"/>
              <w:end w:w="180" w:type="dxa"/>
            </w:tcMar>
            <w:vAlign w:val="center"/>
          </w:tcPr>
          <w:p>
            <w:pPr>
              <w:spacing w:after="0"/>
            </w:pPr>
            <w:r>
              <w:rPr>
                <w:b/>
                <w:color w:val="B71524"/>
              </w:rPr>
              <w:t xml:space="preserve">Operating principle  </w:t>
            </w:r>
            <w:r>
              <w:rPr>
                <w:color w:val="1D1D1B"/>
              </w:rPr>
              <w:t>The prompt tells AI what to do. The handbook tells AI what good professional judgement looks like. The conversation supplies the situation. The human owns the decision.</w:t>
            </w:r>
          </w:p>
        </w:tc>
      </w:tr>
    </w:tbl>
    <w:p>
      <w:pPr>
        <w:spacing w:after="40"/>
      </w:pPr>
    </w:p>
    <w:p>
      <w:pPr>
        <w:pStyle w:val="Heading1"/>
      </w:pPr>
      <w:r>
        <w:t>14. The quality standard</w:t>
      </w:r>
    </w:p>
    <w:p>
      <w:pPr>
        <w:pStyle w:val="Lead"/>
      </w:pPr>
      <w:r>
        <w:t>The purpose of codified expertise is not to make every transformation decision identical. It is to improve the quality, transparency and repeatability of the judgement.</w:t>
      </w:r>
    </w:p>
    <w:p>
      <w:r>
        <w:t>At the end of the selection and framing process, a strong professional should be able to explain the opportunity in a way that makes the reasoning inspectable. A listener should understand the current organisational reality, the outcome that matters, the value mechanism, the transformation that could be possible, the role AI may or may not play, the important assumptions and unknowns, the organisational conditions that matter and the next advance that would most improve the likelihood of success.</w:t>
      </w:r>
    </w:p>
    <w:p>
      <w:r>
        <w:t>The framing should also contain evidence of intellectual honesty. It should be clear which parts are supported, which remain hypotheses and what would cause the professional to change their mind. Good judgement is not confidence without uncertainty. It is the ability to act while knowing where uncertainty still sits.</w:t>
      </w:r>
    </w:p>
    <w:p>
      <w:r>
        <w:t>The strongest test is practical: does the framing help the organisation make a better decision about what to do next? If it merely produces an attractive description of an AI idea, it is not yet strong enough. If it clarifies why the opportunity matters, what must be true, what should be learned next and what would create real movement, the professional judgement is doing its job.</w:t>
      </w:r>
    </w:p>
    <w:p>
      <w:pPr>
        <w:pStyle w:val="Heading2"/>
      </w:pPr>
      <w:r>
        <w:t>Use and refinement</w:t>
      </w:r>
    </w:p>
    <w:p>
      <w:pPr>
        <w:pStyle w:val="Small"/>
      </w:pPr>
      <w:r>
        <w:t>This handbook is intended as durable professional context, not as a final universal doctrine. It should be refined with domain-specific experience, new evidence and observed failure modes. When repeated use reveals that a rule is too broad, an important exception is missing or an AI coach routinely misapplies a principle, the codification should be updated. Professional expertise becomes more useful when it is treated as a living operating asset rather than a static document.</w:t>
      </w:r>
    </w:p>
    <w:sectPr w:rsidR="00FC693F" w:rsidRPr="0006063C" w:rsidSect="00034616">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4" w:lineRule="auto"/>
    </w:pPr>
    <w:rPr>
      <w:rFonts w:ascii="Roboto" w:hAnsi="Roboto"/>
      <w:color w:val="1D1D1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Roboto" w:hAnsi="Roboto"/>
      <w:b/>
      <w:bCs/>
      <w:color w:val="B71524"/>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Roboto" w:hAnsi="Roboto"/>
      <w:b/>
      <w:bCs/>
      <w:color w:val="1D1D1B"/>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Roboto" w:hAnsi="Roboto"/>
      <w:b w:val="0"/>
      <w:bCs/>
      <w:color w:val="4D4D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0"/>
      <w:contextualSpacing/>
    </w:pPr>
    <w:rPr>
      <w:rFonts w:asciiTheme="majorHAnsi" w:eastAsiaTheme="majorEastAsia" w:hAnsiTheme="majorHAnsi" w:cstheme="majorBidi" w:ascii="Roboto" w:hAnsi="Roboto"/>
      <w:b/>
      <w:color w:val="1D1D1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20"/>
    </w:pPr>
    <w:rPr>
      <w:rFonts w:asciiTheme="majorHAnsi" w:eastAsiaTheme="majorEastAsia" w:hAnsiTheme="majorHAnsi" w:cstheme="majorBidi" w:ascii="Roboto" w:hAnsi="Roboto"/>
      <w:b w:val="0"/>
      <w:i/>
      <w:iCs/>
      <w:color w:val="4D4D4D"/>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Roboto" w:hAnsi="Roboto"/>
      <w:b w:val="0"/>
      <w:color w:val="1D1D1B"/>
      <w:sz w:val="26"/>
    </w:rPr>
  </w:style>
  <w:style w:type="paragraph" w:customStyle="1" w:styleId="Small">
    <w:name w:val="Small"/>
    <w:pPr>
      <w:spacing w:after="80" w:line="259" w:lineRule="auto"/>
    </w:pPr>
    <w:rPr>
      <w:rFonts w:ascii="Roboto" w:hAnsi="Roboto"/>
      <w:color w:val="4D4D4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